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0"/>
        <w:tabs>
          <w:tab w:val="right" w:pos="9639"/>
          <w:tab w:val="right" w:pos="13323"/>
        </w:tabs>
        <w:spacing w:after="0"/>
        <w:rPr>
          <w:rFonts w:eastAsia="宋体" w:cs="Arial"/>
          <w:b/>
          <w:sz w:val="24"/>
          <w:szCs w:val="24"/>
          <w:lang w:val="en-US" w:eastAsia="zh-CN"/>
        </w:rPr>
      </w:pPr>
      <w:r>
        <w:rPr>
          <w:rFonts w:cs="Arial"/>
          <w:b/>
          <w:bCs/>
          <w:sz w:val="24"/>
          <w:szCs w:val="24"/>
        </w:rPr>
        <w:t>3GPP TSG-RAN WG3 Meeting #1</w:t>
      </w:r>
      <w:r>
        <w:rPr>
          <w:rFonts w:hint="eastAsia" w:eastAsia="宋体" w:cs="Arial"/>
          <w:b/>
          <w:bCs/>
          <w:sz w:val="24"/>
          <w:szCs w:val="24"/>
          <w:lang w:val="en-US" w:eastAsia="zh-CN"/>
        </w:rPr>
        <w:t>21</w:t>
      </w:r>
      <w:r>
        <w:rPr>
          <w:rFonts w:cs="Arial"/>
          <w:b/>
          <w:sz w:val="24"/>
          <w:szCs w:val="24"/>
        </w:rPr>
        <w:tab/>
      </w:r>
      <w:r>
        <w:rPr>
          <w:rFonts w:hint="eastAsia"/>
          <w:b/>
          <w:i/>
          <w:sz w:val="28"/>
        </w:rPr>
        <w:t>R3-235398</w:t>
      </w:r>
    </w:p>
    <w:p>
      <w:pPr>
        <w:pStyle w:val="15"/>
        <w:jc w:val="both"/>
        <w:rPr>
          <w:rFonts w:eastAsia="宋体"/>
          <w:bCs w:val="0"/>
          <w:i w:val="0"/>
          <w:sz w:val="24"/>
        </w:rPr>
      </w:pPr>
      <w:r>
        <w:rPr>
          <w:rFonts w:hint="eastAsia" w:eastAsia="宋体"/>
          <w:bCs w:val="0"/>
          <w:i w:val="0"/>
          <w:sz w:val="24"/>
        </w:rPr>
        <w:t>Xiamen, 9 Oct – 13 Oct 2023</w:t>
      </w:r>
    </w:p>
    <w:p>
      <w:pPr>
        <w:pStyle w:val="15"/>
        <w:jc w:val="both"/>
        <w:rPr>
          <w:rFonts w:eastAsia="宋体"/>
          <w:bCs w:val="0"/>
          <w:i w:val="0"/>
          <w:sz w:val="24"/>
        </w:rPr>
      </w:pPr>
    </w:p>
    <w:p>
      <w:pPr>
        <w:tabs>
          <w:tab w:val="left" w:pos="1985"/>
        </w:tabs>
        <w:ind w:left="1980" w:hanging="1980"/>
        <w:rPr>
          <w:rStyle w:val="74"/>
        </w:rPr>
      </w:pPr>
      <w:r>
        <w:rPr>
          <w:b/>
          <w:sz w:val="24"/>
        </w:rPr>
        <w:t>Title:</w:t>
      </w:r>
      <w:r>
        <w:rPr>
          <w:sz w:val="24"/>
        </w:rPr>
        <w:t xml:space="preserve"> </w:t>
      </w:r>
      <w:r>
        <w:rPr>
          <w:sz w:val="24"/>
        </w:rPr>
        <w:tab/>
      </w:r>
      <w:r>
        <w:rPr>
          <w:rFonts w:hint="eastAsia"/>
          <w:sz w:val="24"/>
        </w:rPr>
        <w:t>Discussion on NR QoE Left-over issues</w:t>
      </w:r>
    </w:p>
    <w:p>
      <w:pPr>
        <w:tabs>
          <w:tab w:val="left" w:pos="1985"/>
        </w:tabs>
        <w:rPr>
          <w:rStyle w:val="74"/>
          <w:lang w:val="en-GB"/>
        </w:rPr>
      </w:pPr>
      <w:r>
        <w:rPr>
          <w:b/>
          <w:sz w:val="24"/>
        </w:rPr>
        <w:t xml:space="preserve">Source: </w:t>
      </w:r>
      <w:r>
        <w:rPr>
          <w:b/>
          <w:sz w:val="24"/>
        </w:rPr>
        <w:tab/>
      </w:r>
      <w:r>
        <w:rPr>
          <w:rFonts w:hint="eastAsia"/>
          <w:bCs/>
          <w:sz w:val="24"/>
        </w:rPr>
        <w:t>China Unicom</w:t>
      </w:r>
    </w:p>
    <w:p>
      <w:pPr>
        <w:tabs>
          <w:tab w:val="left" w:pos="1985"/>
        </w:tabs>
        <w:rPr>
          <w:rStyle w:val="74"/>
        </w:rPr>
      </w:pPr>
      <w:r>
        <w:rPr>
          <w:b/>
          <w:sz w:val="24"/>
        </w:rPr>
        <w:t>Agenda item:</w:t>
      </w:r>
      <w:r>
        <w:rPr>
          <w:sz w:val="24"/>
        </w:rPr>
        <w:tab/>
      </w:r>
      <w:r>
        <w:rPr>
          <w:rFonts w:hint="eastAsia"/>
          <w:sz w:val="24"/>
          <w:lang w:val="en-US"/>
        </w:rPr>
        <w:t>11</w:t>
      </w:r>
      <w:r>
        <w:rPr>
          <w:sz w:val="24"/>
        </w:rPr>
        <w:t>.</w:t>
      </w:r>
      <w:r>
        <w:rPr>
          <w:rFonts w:hint="eastAsia" w:eastAsia="宋体"/>
          <w:sz w:val="24"/>
          <w:lang w:val="en-US"/>
        </w:rPr>
        <w:t>4</w:t>
      </w:r>
    </w:p>
    <w:p>
      <w:pPr>
        <w:tabs>
          <w:tab w:val="left" w:pos="1985"/>
        </w:tabs>
        <w:ind w:left="1980" w:hanging="1980"/>
        <w:rPr>
          <w:rStyle w:val="74"/>
          <w:lang w:val="en-GB"/>
        </w:rPr>
      </w:pPr>
      <w:r>
        <w:rPr>
          <w:b/>
          <w:sz w:val="24"/>
        </w:rPr>
        <w:t>Document Type:</w:t>
      </w:r>
      <w:r>
        <w:rPr>
          <w:sz w:val="24"/>
        </w:rPr>
        <w:tab/>
      </w:r>
      <w:r>
        <w:rPr>
          <w:rFonts w:hint="eastAsia"/>
          <w:sz w:val="24"/>
        </w:rPr>
        <w:t>D</w:t>
      </w:r>
      <w:r>
        <w:rPr>
          <w:sz w:val="24"/>
        </w:rPr>
        <w:t>iscussion</w:t>
      </w:r>
    </w:p>
    <w:p>
      <w:pPr>
        <w:pStyle w:val="2"/>
        <w:rPr>
          <w:rFonts w:eastAsia="宋体"/>
        </w:rPr>
      </w:pPr>
      <w:r>
        <w:rPr>
          <w:rFonts w:eastAsia="宋体"/>
        </w:rPr>
        <w:t>Introduction</w:t>
      </w:r>
    </w:p>
    <w:p>
      <w:pPr>
        <w:rPr>
          <w:rFonts w:ascii="Times New Roman" w:hAnsi="Times New Roman"/>
          <w:sz w:val="21"/>
          <w:szCs w:val="21"/>
        </w:rPr>
      </w:pPr>
      <w:r>
        <w:rPr>
          <w:rFonts w:ascii="Times New Roman" w:hAnsi="Times New Roman"/>
          <w:sz w:val="21"/>
          <w:szCs w:val="21"/>
        </w:rPr>
        <w:t>The Work Item on QoE reporting has been agreed in RAN#9</w:t>
      </w:r>
      <w:r>
        <w:rPr>
          <w:rFonts w:ascii="Times New Roman" w:hAnsi="Times New Roman" w:eastAsia="宋体"/>
          <w:sz w:val="21"/>
          <w:szCs w:val="21"/>
          <w:lang w:val="en-US"/>
        </w:rPr>
        <w:t>6</w:t>
      </w:r>
      <w:r>
        <w:rPr>
          <w:rFonts w:ascii="Times New Roman" w:hAnsi="Times New Roman"/>
          <w:sz w:val="21"/>
          <w:szCs w:val="21"/>
        </w:rPr>
        <w:t xml:space="preserve"> (RP-2</w:t>
      </w:r>
      <w:r>
        <w:rPr>
          <w:rFonts w:ascii="Times New Roman" w:hAnsi="Times New Roman" w:eastAsia="宋体"/>
          <w:sz w:val="21"/>
          <w:szCs w:val="21"/>
          <w:lang w:val="en-US"/>
        </w:rPr>
        <w:t>21803</w:t>
      </w:r>
      <w:r>
        <w:rPr>
          <w:rFonts w:ascii="Times New Roman" w:hAnsi="Times New Roman"/>
          <w:sz w:val="21"/>
          <w:szCs w:val="21"/>
        </w:rPr>
        <w:t>) with the following objectives: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5"/>
              </w:numPr>
              <w:spacing w:before="120" w:beforeLines="50" w:after="0"/>
              <w:rPr>
                <w:rFonts w:ascii="Times New Roman" w:hAnsi="Times New Roman"/>
                <w:bCs/>
                <w:i/>
                <w:iCs/>
                <w:sz w:val="21"/>
                <w:szCs w:val="21"/>
                <w:lang w:val="en-US"/>
              </w:rPr>
            </w:pPr>
            <w:r>
              <w:rPr>
                <w:rFonts w:ascii="Times New Roman" w:hAnsi="Times New Roman"/>
                <w:i/>
                <w:iCs/>
                <w:sz w:val="21"/>
                <w:szCs w:val="21"/>
              </w:rPr>
              <w:t>Left-over features</w:t>
            </w:r>
            <w:r>
              <w:rPr>
                <w:rFonts w:ascii="Times New Roman" w:hAnsi="Times New Roman"/>
                <w:i/>
                <w:iCs/>
                <w:sz w:val="21"/>
                <w:szCs w:val="21"/>
                <w:lang w:val="en-US"/>
              </w:rPr>
              <w:t xml:space="preserve"> from Rel-17, as well as the enhancements of existing features which are not included in Rel-17 normative phase, should be supported in Rel-18 if consensus on benefits are reached </w:t>
            </w:r>
            <w:r>
              <w:rPr>
                <w:rFonts w:ascii="Times New Roman" w:hAnsi="Times New Roman"/>
                <w:i/>
                <w:iCs/>
                <w:sz w:val="21"/>
                <w:szCs w:val="21"/>
              </w:rPr>
              <w:t>[</w:t>
            </w:r>
            <w:r>
              <w:rPr>
                <w:rFonts w:ascii="Times New Roman" w:hAnsi="Times New Roman"/>
                <w:i/>
                <w:iCs/>
                <w:sz w:val="21"/>
                <w:szCs w:val="21"/>
                <w:lang w:val="en-US"/>
              </w:rPr>
              <w:t>RAN3</w:t>
            </w:r>
            <w:r>
              <w:rPr>
                <w:rFonts w:ascii="Times New Roman" w:hAnsi="Times New Roman"/>
                <w:i/>
                <w:iCs/>
                <w:sz w:val="21"/>
                <w:szCs w:val="21"/>
              </w:rPr>
              <w:t>, RAN2].</w:t>
            </w:r>
          </w:p>
          <w:p>
            <w:pPr>
              <w:numPr>
                <w:ilvl w:val="0"/>
                <w:numId w:val="6"/>
              </w:numPr>
              <w:spacing w:after="0"/>
              <w:rPr>
                <w:rFonts w:ascii="Times New Roman" w:hAnsi="Times New Roman"/>
                <w:bCs/>
                <w:i/>
                <w:iCs/>
                <w:sz w:val="21"/>
                <w:szCs w:val="21"/>
                <w:lang w:val="en-US"/>
              </w:rPr>
            </w:pPr>
            <w:r>
              <w:rPr>
                <w:rFonts w:ascii="Times New Roman" w:hAnsi="Times New Roman"/>
                <w:bCs/>
                <w:i/>
                <w:iCs/>
                <w:sz w:val="21"/>
                <w:szCs w:val="21"/>
                <w:lang w:val="en-US"/>
              </w:rPr>
              <w:t>Specify per-slice QoE measurement configuration enhancement.</w:t>
            </w:r>
          </w:p>
          <w:p>
            <w:pPr>
              <w:numPr>
                <w:ilvl w:val="0"/>
                <w:numId w:val="6"/>
              </w:numPr>
              <w:spacing w:after="0"/>
              <w:rPr>
                <w:rFonts w:ascii="Times New Roman" w:hAnsi="Times New Roman"/>
                <w:bCs/>
                <w:i/>
                <w:iCs/>
                <w:sz w:val="21"/>
                <w:szCs w:val="21"/>
                <w:lang w:val="en-US"/>
              </w:rPr>
            </w:pPr>
            <w:r>
              <w:rPr>
                <w:rFonts w:ascii="Times New Roman" w:hAnsi="Times New Roman"/>
                <w:bCs/>
                <w:i/>
                <w:iCs/>
                <w:sz w:val="21"/>
                <w:szCs w:val="21"/>
                <w:lang w:val="en-US"/>
              </w:rPr>
              <w:t>Specify RAN visible QoE enhancements for QoE value, RAN visible QoE trigger event, RAN visible QoE Report over F1.</w:t>
            </w:r>
          </w:p>
          <w:p>
            <w:pPr>
              <w:numPr>
                <w:ilvl w:val="0"/>
                <w:numId w:val="6"/>
              </w:numPr>
              <w:spacing w:after="0"/>
              <w:ind w:left="720" w:hanging="360"/>
              <w:rPr>
                <w:rFonts w:ascii="Times New Roman" w:hAnsi="Times New Roman"/>
                <w:i/>
                <w:iCs/>
                <w:sz w:val="21"/>
                <w:szCs w:val="21"/>
              </w:rPr>
            </w:pPr>
            <w:r>
              <w:rPr>
                <w:rFonts w:ascii="Times New Roman" w:hAnsi="Times New Roman"/>
                <w:bCs/>
                <w:i/>
                <w:iCs/>
                <w:sz w:val="21"/>
                <w:szCs w:val="21"/>
                <w:lang w:val="en-US"/>
              </w:rPr>
              <w:t xml:space="preserve">Specify QoE reporting handling enhancement for </w:t>
            </w:r>
            <w:r>
              <w:rPr>
                <w:rFonts w:ascii="Times New Roman" w:hAnsi="Times New Roman"/>
                <w:bCs/>
                <w:i/>
                <w:iCs/>
                <w:sz w:val="21"/>
                <w:szCs w:val="21"/>
                <w:lang w:val="en-US" w:bidi="ar"/>
              </w:rPr>
              <w:t xml:space="preserve">overload </w:t>
            </w:r>
            <w:r>
              <w:rPr>
                <w:rFonts w:ascii="Times New Roman" w:hAnsi="Times New Roman"/>
                <w:bCs/>
                <w:i/>
                <w:iCs/>
                <w:sz w:val="21"/>
                <w:szCs w:val="21"/>
                <w:lang w:val="en-US"/>
              </w:rPr>
              <w:t>scenario</w:t>
            </w:r>
            <w:r>
              <w:rPr>
                <w:rFonts w:ascii="Times New Roman" w:hAnsi="Times New Roman"/>
                <w:bCs/>
                <w:i/>
                <w:iCs/>
                <w:sz w:val="21"/>
                <w:szCs w:val="21"/>
                <w:lang w:val="en-US" w:bidi="ar"/>
              </w:rPr>
              <w:t>.</w:t>
            </w:r>
          </w:p>
          <w:p>
            <w:pPr>
              <w:numPr>
                <w:ilvl w:val="0"/>
                <w:numId w:val="5"/>
              </w:numPr>
              <w:spacing w:before="120" w:beforeLines="50" w:after="0"/>
              <w:rPr>
                <w:rFonts w:ascii="Times New Roman" w:hAnsi="Times New Roman"/>
                <w:i/>
                <w:iCs/>
                <w:sz w:val="21"/>
                <w:szCs w:val="21"/>
              </w:rPr>
            </w:pPr>
            <w:r>
              <w:rPr>
                <w:rFonts w:hint="eastAsia" w:ascii="Times New Roman" w:hAnsi="Times New Roman"/>
                <w:i/>
                <w:iCs/>
                <w:sz w:val="21"/>
                <w:szCs w:val="21"/>
              </w:rPr>
              <w:t>Support the continuity of legacy QoE measurement job for streaming and MTSI service during intra-5GC inter-RAT handover process [RAN2, RAN3].</w:t>
            </w:r>
          </w:p>
        </w:tc>
      </w:tr>
    </w:tbl>
    <w:p>
      <w:pPr>
        <w:rPr>
          <w:rStyle w:val="43"/>
          <w:rFonts w:ascii="Times New Roman" w:hAnsi="Times New Roman" w:eastAsia="等线"/>
          <w:sz w:val="21"/>
          <w:szCs w:val="21"/>
          <w:lang w:val="en-GB"/>
        </w:rPr>
      </w:pPr>
    </w:p>
    <w:p>
      <w:pPr>
        <w:rPr>
          <w:rStyle w:val="43"/>
          <w:rFonts w:ascii="Times New Roman" w:hAnsi="Times New Roman" w:eastAsia="宋体"/>
          <w:sz w:val="21"/>
          <w:szCs w:val="21"/>
        </w:rPr>
      </w:pPr>
      <w:r>
        <w:rPr>
          <w:rStyle w:val="43"/>
          <w:rFonts w:ascii="Times New Roman" w:hAnsi="Times New Roman"/>
          <w:sz w:val="21"/>
          <w:szCs w:val="21"/>
          <w:lang w:val="en-GB"/>
        </w:rPr>
        <w:t xml:space="preserve">This paper discusses </w:t>
      </w:r>
      <w:r>
        <w:rPr>
          <w:rStyle w:val="43"/>
          <w:rFonts w:hint="eastAsia" w:ascii="Times New Roman" w:hAnsi="Times New Roman" w:eastAsia="宋体"/>
          <w:sz w:val="21"/>
          <w:szCs w:val="21"/>
        </w:rPr>
        <w:t xml:space="preserve">the leftover issues and also </w:t>
      </w:r>
      <w:r>
        <w:rPr>
          <w:rStyle w:val="43"/>
          <w:rFonts w:ascii="Times New Roman" w:hAnsi="Times New Roman"/>
          <w:sz w:val="21"/>
          <w:szCs w:val="21"/>
          <w:lang w:val="en-GB"/>
        </w:rPr>
        <w:t xml:space="preserve">how to </w:t>
      </w:r>
      <w:r>
        <w:rPr>
          <w:rStyle w:val="43"/>
          <w:rFonts w:hint="eastAsia" w:ascii="Times New Roman" w:hAnsi="Times New Roman" w:eastAsia="宋体"/>
          <w:sz w:val="21"/>
          <w:szCs w:val="21"/>
        </w:rPr>
        <w:t xml:space="preserve">support the </w:t>
      </w:r>
      <w:r>
        <w:rPr>
          <w:rFonts w:hint="eastAsia" w:ascii="Times New Roman" w:hAnsi="Times New Roman"/>
          <w:bCs/>
        </w:rPr>
        <w:t>continuity of legacy QoE measurement job for streaming and MTSI service during intra-5GC inter-RAT handover process</w:t>
      </w:r>
      <w:r>
        <w:rPr>
          <w:rFonts w:ascii="Times New Roman" w:hAnsi="Times New Roman" w:eastAsia="宋体"/>
          <w:sz w:val="21"/>
          <w:szCs w:val="21"/>
          <w:lang w:val="en-US"/>
        </w:rPr>
        <w:t>.</w:t>
      </w:r>
      <w:r>
        <w:rPr>
          <w:rFonts w:hint="eastAsia" w:ascii="Times New Roman" w:hAnsi="Times New Roman" w:eastAsia="宋体"/>
          <w:sz w:val="21"/>
          <w:szCs w:val="21"/>
          <w:lang w:val="en-US"/>
        </w:rPr>
        <w:t xml:space="preserve"> </w:t>
      </w:r>
    </w:p>
    <w:p>
      <w:pPr>
        <w:pStyle w:val="2"/>
        <w:rPr>
          <w:rFonts w:eastAsia="宋体"/>
        </w:rPr>
      </w:pPr>
      <w:r>
        <w:rPr>
          <w:rFonts w:eastAsia="宋体"/>
        </w:rPr>
        <w:t>Discussion</w:t>
      </w:r>
    </w:p>
    <w:p>
      <w:pPr>
        <w:pStyle w:val="3"/>
        <w:ind w:left="1134" w:hanging="1134"/>
        <w:rPr>
          <w:rFonts w:eastAsia="宋体" w:cs="Times New Roman"/>
          <w:sz w:val="24"/>
          <w:szCs w:val="20"/>
          <w:lang w:val="en-US"/>
        </w:rPr>
      </w:pPr>
      <w:r>
        <w:rPr>
          <w:rFonts w:hint="eastAsia" w:eastAsia="宋体" w:cs="Times New Roman"/>
          <w:sz w:val="24"/>
          <w:szCs w:val="20"/>
          <w:lang w:val="en-US"/>
        </w:rPr>
        <w:t xml:space="preserve"> Rel-17 leftover issues</w:t>
      </w:r>
    </w:p>
    <w:p>
      <w:pPr>
        <w:rPr>
          <w:rFonts w:ascii="Times New Roman" w:hAnsi="Times New Roman" w:eastAsia="等线" w:cs="Calibri"/>
          <w:bCs/>
          <w:sz w:val="22"/>
          <w:szCs w:val="22"/>
          <w:lang w:val="en-US"/>
        </w:rPr>
      </w:pPr>
      <w:r>
        <w:rPr>
          <w:rFonts w:hint="eastAsia" w:ascii="Times New Roman" w:hAnsi="Times New Roman" w:eastAsia="等线" w:cs="Calibri"/>
          <w:bCs/>
          <w:sz w:val="22"/>
          <w:szCs w:val="22"/>
          <w:lang w:val="en-US"/>
        </w:rPr>
        <w:t>RAN3 had discuss the assistant information and had the following agreement:</w:t>
      </w:r>
    </w:p>
    <w:p>
      <w:pPr>
        <w:rPr>
          <w:rFonts w:ascii="Calibri" w:hAnsi="Calibri" w:cs="Calibri"/>
          <w:i/>
          <w:iCs/>
          <w:color w:val="00B050"/>
          <w:kern w:val="2"/>
          <w:sz w:val="21"/>
          <w:szCs w:val="21"/>
          <w:lang w:eastAsia="en-US"/>
        </w:rPr>
      </w:pPr>
      <w:r>
        <w:rPr>
          <w:rFonts w:ascii="Calibri" w:hAnsi="Calibri" w:cs="Calibri"/>
          <w:i/>
          <w:iCs/>
          <w:color w:val="00B050"/>
          <w:kern w:val="2"/>
          <w:sz w:val="21"/>
          <w:szCs w:val="21"/>
          <w:lang w:eastAsia="en-US"/>
        </w:rPr>
        <w:t xml:space="preserve">In case assistance information for handling of QoE reporting upon RAN overload is sent to the RAN, it is sent together with QoE measurement configuration. RAN3 to further discuss what the assistance information is. From RAN3 perspective, there is no need to send assistance information to UE. </w:t>
      </w:r>
    </w:p>
    <w:p>
      <w:pPr>
        <w:rPr>
          <w:rFonts w:ascii="Times New Roman" w:hAnsi="Times New Roman" w:eastAsia="等线" w:cs="Calibri"/>
          <w:bCs/>
          <w:sz w:val="22"/>
          <w:szCs w:val="22"/>
          <w:lang w:val="en-US"/>
        </w:rPr>
      </w:pPr>
      <w:r>
        <w:rPr>
          <w:rFonts w:hint="eastAsia" w:ascii="Times New Roman" w:hAnsi="Times New Roman" w:eastAsia="等线" w:cs="Calibri"/>
          <w:bCs/>
          <w:sz w:val="22"/>
          <w:szCs w:val="22"/>
          <w:lang w:val="en-US"/>
        </w:rPr>
        <w:t>For the assistant information, RAN3 discuss about the priority of QoE many times, and send LS to SA5, the SA5 replied the LS in SA5#150 meeting (S5-235542):</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cs="Arial"/>
                <w:b/>
                <w:bCs/>
                <w:lang w:val="en-US"/>
              </w:rPr>
            </w:pPr>
            <w:r>
              <w:rPr>
                <w:rFonts w:cs="Arial"/>
                <w:b/>
                <w:bCs/>
                <w:lang w:val="en-US"/>
              </w:rPr>
              <w:t>Q1: Can there be multiple types of consumers for receiving the QoE reports (pursuing the role of the MCE)? If yes, what are those potential consumers as supported by the current specifications?</w:t>
            </w:r>
          </w:p>
          <w:p>
            <w:pPr>
              <w:rPr>
                <w:rFonts w:cs="Arial"/>
                <w:bCs/>
                <w:lang w:val="en-US"/>
              </w:rPr>
            </w:pPr>
            <w:r>
              <w:rPr>
                <w:rFonts w:hint="eastAsia" w:cs="Arial"/>
                <w:b/>
                <w:bCs/>
                <w:lang w:val="en-US"/>
              </w:rPr>
              <w:t>A</w:t>
            </w:r>
            <w:r>
              <w:rPr>
                <w:rFonts w:cs="Arial"/>
                <w:b/>
                <w:bCs/>
                <w:lang w:val="en-US"/>
              </w:rPr>
              <w:t xml:space="preserve">: </w:t>
            </w:r>
            <w:r>
              <w:rPr>
                <w:rFonts w:cs="Arial"/>
                <w:bCs/>
                <w:lang w:val="en-US"/>
              </w:rPr>
              <w:t xml:space="preserve">No, SA5 does not specify the different types of consumers so far. Existing activation and deactivation procedures could be applied to any consumer. </w:t>
            </w:r>
          </w:p>
          <w:p>
            <w:pPr>
              <w:rPr>
                <w:rFonts w:cs="Arial"/>
                <w:b/>
                <w:bCs/>
                <w:lang w:val="en-US"/>
              </w:rPr>
            </w:pPr>
            <w:r>
              <w:rPr>
                <w:rFonts w:cs="Arial"/>
                <w:b/>
                <w:bCs/>
                <w:lang w:val="en-US"/>
              </w:rPr>
              <w:t>Q2: If the answer to the first part of  Q1 is “yes”, and if different consumers can have different priorities in receiving the QoE reports, is the OAM able to compare and rank by priority the preferences of different consumers or rank the consumers themselves? Can the OAM make the final decision regarding setting the reporting priorities? Can the OAM coordinate with the consumers and inform the consumers if the intended priority is not met?</w:t>
            </w:r>
          </w:p>
          <w:p>
            <w:pPr>
              <w:rPr>
                <w:rFonts w:cs="Arial"/>
                <w:bCs/>
                <w:lang w:val="en-US"/>
              </w:rPr>
            </w:pPr>
            <w:r>
              <w:rPr>
                <w:rFonts w:hint="eastAsia" w:cs="Arial"/>
                <w:b/>
                <w:bCs/>
                <w:lang w:val="en-US"/>
              </w:rPr>
              <w:t>A</w:t>
            </w:r>
            <w:r>
              <w:rPr>
                <w:rFonts w:cs="Arial"/>
                <w:b/>
                <w:bCs/>
                <w:lang w:val="en-US"/>
              </w:rPr>
              <w:t>:</w:t>
            </w:r>
            <w:r>
              <w:rPr>
                <w:rFonts w:cs="Arial"/>
                <w:bCs/>
                <w:lang w:val="en-US"/>
              </w:rPr>
              <w:t xml:space="preserve"> see Q1. From SA5 point of view, even though there are no different types of consumers specified by SA5, </w:t>
            </w:r>
            <w:r>
              <w:rPr>
                <w:rFonts w:hint="eastAsia" w:cs="Arial"/>
                <w:lang w:val="en-US"/>
              </w:rPr>
              <w:t xml:space="preserve">it is </w:t>
            </w:r>
            <w:r>
              <w:rPr>
                <w:rFonts w:cs="Arial"/>
                <w:lang w:val="en-US"/>
              </w:rPr>
              <w:t>useful</w:t>
            </w:r>
            <w:r>
              <w:rPr>
                <w:rFonts w:hint="eastAsia" w:cs="Arial"/>
                <w:lang w:val="en-US"/>
              </w:rPr>
              <w:t xml:space="preserve"> to </w:t>
            </w:r>
            <w:r>
              <w:rPr>
                <w:rFonts w:cs="Arial"/>
                <w:lang w:val="en-US"/>
              </w:rPr>
              <w:t>introduce a priority per QoE configuration as assistance information to the NG-RAN node</w:t>
            </w:r>
            <w:r>
              <w:rPr>
                <w:rFonts w:cs="Arial"/>
                <w:bCs/>
                <w:lang w:val="en-US"/>
              </w:rPr>
              <w:t>.</w:t>
            </w:r>
          </w:p>
          <w:p>
            <w:pPr>
              <w:rPr>
                <w:rFonts w:cs="Arial"/>
                <w:b/>
                <w:bCs/>
                <w:lang w:val="en-US"/>
              </w:rPr>
            </w:pPr>
            <w:r>
              <w:rPr>
                <w:rFonts w:cs="Arial"/>
                <w:b/>
                <w:bCs/>
                <w:lang w:val="en-US"/>
              </w:rPr>
              <w:t>Q3: Is there any other issue(s) related to sending such an explicit priority per QoE configuration as assistance information to the NG-RAN node?</w:t>
            </w:r>
          </w:p>
          <w:p>
            <w:pPr>
              <w:rPr>
                <w:rFonts w:cs="Arial"/>
                <w:bCs/>
                <w:lang w:val="en-US"/>
              </w:rPr>
            </w:pPr>
            <w:r>
              <w:rPr>
                <w:rFonts w:hint="eastAsia" w:cs="Arial"/>
                <w:bCs/>
                <w:lang w:val="en-US"/>
              </w:rPr>
              <w:t>A</w:t>
            </w:r>
            <w:r>
              <w:rPr>
                <w:rFonts w:cs="Arial"/>
                <w:bCs/>
                <w:lang w:val="en-US"/>
              </w:rPr>
              <w:t xml:space="preserve">: </w:t>
            </w:r>
            <w:r>
              <w:rPr>
                <w:rFonts w:hint="eastAsia" w:cs="Arial"/>
                <w:lang w:val="en-US"/>
              </w:rPr>
              <w:t xml:space="preserve">The mechanisms of QMC defined in TS 28.405 does not support </w:t>
            </w:r>
            <w:r>
              <w:rPr>
                <w:rFonts w:cs="Arial"/>
                <w:lang w:val="en-US"/>
              </w:rPr>
              <w:t>such priority per QoE configuration currently</w:t>
            </w:r>
            <w:r>
              <w:rPr>
                <w:rFonts w:hint="eastAsia" w:cs="Arial"/>
                <w:lang w:val="en-US"/>
              </w:rPr>
              <w:t xml:space="preserve">. SA5 think it is possible to </w:t>
            </w:r>
            <w:r>
              <w:rPr>
                <w:rFonts w:cs="Arial"/>
                <w:lang w:val="en-US"/>
              </w:rPr>
              <w:t>introduce a priority per QoE configuration</w:t>
            </w:r>
            <w:r>
              <w:rPr>
                <w:rFonts w:hint="eastAsia" w:cs="Arial"/>
                <w:lang w:val="en-US"/>
              </w:rPr>
              <w:t xml:space="preserve"> for one certain service type</w:t>
            </w:r>
            <w:r>
              <w:rPr>
                <w:rFonts w:cs="Arial"/>
                <w:lang w:val="en-US"/>
              </w:rPr>
              <w:t xml:space="preserve"> or QoE reference in case of the QoE reporting to an NG-RAN node that is in overload.</w:t>
            </w:r>
          </w:p>
          <w:p>
            <w:pPr>
              <w:rPr>
                <w:rFonts w:cs="Arial"/>
                <w:b/>
                <w:bCs/>
                <w:lang w:val="en-US"/>
              </w:rPr>
            </w:pPr>
            <w:r>
              <w:rPr>
                <w:rFonts w:cs="Arial"/>
                <w:b/>
                <w:bCs/>
                <w:lang w:val="en-US"/>
              </w:rPr>
              <w:t>Q4: Can the OAM indicate the “type of consumer” (as in Q1) or “characteristics of reporting” (e.g., the loop cycle, reporting periodicity, expected number of reports or amount of data to be reported etc.) as assistance to the NG-RAN node in the QoE configuration?</w:t>
            </w:r>
          </w:p>
          <w:p>
            <w:pPr>
              <w:rPr>
                <w:rFonts w:ascii="Times New Roman" w:hAnsi="Times New Roman" w:eastAsia="等线" w:cs="Calibri"/>
                <w:bCs/>
                <w:sz w:val="22"/>
                <w:szCs w:val="22"/>
                <w:lang w:val="en-US"/>
              </w:rPr>
            </w:pPr>
            <w:r>
              <w:rPr>
                <w:rFonts w:hint="eastAsia" w:cs="Arial"/>
                <w:bCs/>
                <w:lang w:val="en-US"/>
              </w:rPr>
              <w:t>A</w:t>
            </w:r>
            <w:r>
              <w:rPr>
                <w:rFonts w:cs="Arial"/>
                <w:bCs/>
                <w:lang w:val="en-US"/>
              </w:rPr>
              <w:t xml:space="preserve">: Regarding the </w:t>
            </w:r>
            <w:r>
              <w:rPr>
                <w:rFonts w:hint="eastAsia" w:cs="Arial"/>
                <w:bCs/>
                <w:lang w:val="en-US"/>
              </w:rPr>
              <w:t>“</w:t>
            </w:r>
            <w:r>
              <w:rPr>
                <w:rFonts w:cs="Arial"/>
                <w:bCs/>
                <w:lang w:val="en-US"/>
              </w:rPr>
              <w:t xml:space="preserve">type of consumer”, SA5 does not specify the different types of consumers as Q1 replied. </w:t>
            </w:r>
            <w:r>
              <w:rPr>
                <w:rFonts w:hint="eastAsia" w:cs="Arial"/>
                <w:bCs/>
                <w:lang w:val="en-US"/>
              </w:rPr>
              <w:t>Regarding</w:t>
            </w:r>
            <w:r>
              <w:rPr>
                <w:rFonts w:cs="Arial"/>
                <w:bCs/>
                <w:lang w:val="en-US"/>
              </w:rPr>
              <w:t xml:space="preserve"> the several attributes of example in “characteristics of reporting”, the definition of these attribute needs clarifies, for example, which measurement is the loop cycle used for? In addition, according to the current specification, for the reporting periodicity, it has been already defined in the QMC config file, the difference between the two needs to be clarified. For the expected number of reports or amount of data to be reported, </w:t>
            </w:r>
            <w:r>
              <w:rPr>
                <w:rFonts w:hint="eastAsia" w:cs="Arial"/>
                <w:lang w:val="en-US"/>
              </w:rPr>
              <w:t xml:space="preserve">SA5 think it is </w:t>
            </w:r>
            <w:r>
              <w:rPr>
                <w:rFonts w:cs="Arial"/>
                <w:lang w:val="en-US"/>
              </w:rPr>
              <w:t>im</w:t>
            </w:r>
            <w:r>
              <w:rPr>
                <w:rFonts w:hint="eastAsia" w:cs="Arial"/>
                <w:lang w:val="en-US"/>
              </w:rPr>
              <w:t>possible to</w:t>
            </w:r>
            <w:r>
              <w:rPr>
                <w:rFonts w:cs="Arial"/>
                <w:lang w:val="en-US"/>
              </w:rPr>
              <w:t xml:space="preserve"> evaluate the data size and cannot indicate such values.</w:t>
            </w:r>
          </w:p>
        </w:tc>
      </w:tr>
    </w:tbl>
    <w:p>
      <w:pPr>
        <w:rPr>
          <w:rFonts w:ascii="Times New Roman" w:hAnsi="Times New Roman" w:eastAsia="等线" w:cs="Calibri"/>
          <w:bCs/>
          <w:sz w:val="22"/>
          <w:szCs w:val="22"/>
          <w:lang w:val="en-US"/>
        </w:rPr>
      </w:pPr>
    </w:p>
    <w:p>
      <w:pPr>
        <w:rPr>
          <w:rFonts w:ascii="Times New Roman" w:hAnsi="Times New Roman" w:eastAsia="等线" w:cs="Calibri"/>
          <w:bCs/>
          <w:sz w:val="22"/>
          <w:szCs w:val="22"/>
          <w:lang w:val="en-US"/>
        </w:rPr>
      </w:pPr>
      <w:r>
        <w:rPr>
          <w:rFonts w:hint="eastAsia" w:ascii="Times New Roman" w:hAnsi="Times New Roman" w:eastAsia="等线" w:cs="Calibri"/>
          <w:bCs/>
          <w:sz w:val="22"/>
          <w:szCs w:val="22"/>
          <w:lang w:val="en-US"/>
        </w:rPr>
        <w:t>From SA5</w:t>
      </w:r>
      <w:r>
        <w:rPr>
          <w:rFonts w:ascii="Times New Roman" w:hAnsi="Times New Roman" w:eastAsia="等线" w:cs="Calibri"/>
          <w:bCs/>
          <w:sz w:val="22"/>
          <w:szCs w:val="22"/>
          <w:lang w:val="en-US"/>
        </w:rPr>
        <w:t>’</w:t>
      </w:r>
      <w:r>
        <w:rPr>
          <w:rFonts w:hint="eastAsia" w:ascii="Times New Roman" w:hAnsi="Times New Roman" w:eastAsia="等线" w:cs="Calibri"/>
          <w:bCs/>
          <w:sz w:val="22"/>
          <w:szCs w:val="22"/>
          <w:lang w:val="en-US"/>
        </w:rPr>
        <w:t>s perspective, there is no multiple types of consumers for receiving the QoE reports, and it is useful to introduce a priority per QoE configuration as the</w:t>
      </w:r>
      <w:r>
        <w:rPr>
          <w:rFonts w:ascii="Times New Roman" w:hAnsi="Times New Roman" w:eastAsia="等线" w:cs="Calibri"/>
          <w:bCs/>
          <w:sz w:val="22"/>
          <w:szCs w:val="22"/>
          <w:lang w:val="en-US"/>
        </w:rPr>
        <w:t xml:space="preserve"> </w:t>
      </w:r>
      <w:r>
        <w:rPr>
          <w:rFonts w:hint="eastAsia" w:ascii="Times New Roman" w:hAnsi="Times New Roman" w:eastAsia="等线" w:cs="Calibri"/>
          <w:bCs/>
          <w:sz w:val="22"/>
          <w:szCs w:val="22"/>
          <w:lang w:val="en-US"/>
        </w:rPr>
        <w:t>assistance information to the NG-RAN node.</w:t>
      </w:r>
    </w:p>
    <w:p>
      <w:pPr>
        <w:rPr>
          <w:rFonts w:ascii="Times New Roman" w:hAnsi="Times New Roman" w:eastAsia="等线"/>
          <w:bCs/>
          <w:sz w:val="22"/>
          <w:szCs w:val="22"/>
        </w:rPr>
      </w:pPr>
      <w:r>
        <w:rPr>
          <w:rFonts w:hint="eastAsia" w:ascii="Times New Roman" w:hAnsi="Times New Roman" w:eastAsia="等线"/>
          <w:b/>
          <w:sz w:val="22"/>
          <w:szCs w:val="22"/>
          <w:lang w:val="en-US"/>
        </w:rPr>
        <w:t>Proposal 1:</w:t>
      </w:r>
      <w:r>
        <w:rPr>
          <w:rFonts w:ascii="Times New Roman" w:hAnsi="Times New Roman" w:eastAsia="等线"/>
          <w:b/>
          <w:sz w:val="22"/>
          <w:szCs w:val="22"/>
          <w:lang w:val="en-US"/>
        </w:rPr>
        <w:t xml:space="preserve"> </w:t>
      </w:r>
      <w:r>
        <w:rPr>
          <w:rFonts w:hint="eastAsia" w:ascii="Times New Roman" w:hAnsi="Times New Roman" w:eastAsia="宋体"/>
          <w:b/>
          <w:sz w:val="21"/>
          <w:szCs w:val="21"/>
          <w:lang w:val="en-US"/>
        </w:rPr>
        <w:t>QoE reporting priority should be included in the QoE configuration</w:t>
      </w:r>
      <w:r>
        <w:rPr>
          <w:rFonts w:hint="eastAsia" w:ascii="Times New Roman" w:hAnsi="Times New Roman" w:eastAsia="等线"/>
          <w:b/>
          <w:sz w:val="22"/>
          <w:szCs w:val="22"/>
          <w:lang w:val="en-US"/>
        </w:rPr>
        <w:t>.</w:t>
      </w:r>
    </w:p>
    <w:p>
      <w:pPr>
        <w:rPr>
          <w:rFonts w:eastAsia="宋体"/>
          <w:sz w:val="24"/>
          <w:lang w:val="en-US"/>
        </w:rPr>
      </w:pPr>
    </w:p>
    <w:p>
      <w:pPr>
        <w:pStyle w:val="3"/>
        <w:ind w:left="1134" w:hanging="1134"/>
        <w:rPr>
          <w:rFonts w:eastAsia="宋体" w:cs="Times New Roman"/>
          <w:sz w:val="24"/>
          <w:szCs w:val="20"/>
          <w:lang w:val="en-US"/>
        </w:rPr>
      </w:pPr>
      <w:r>
        <w:rPr>
          <w:rFonts w:hint="eastAsia" w:eastAsia="宋体" w:cs="Times New Roman"/>
          <w:sz w:val="24"/>
          <w:szCs w:val="20"/>
          <w:lang w:val="en-US"/>
        </w:rPr>
        <w:t xml:space="preserve">Intra-5GC inter-RAT handover </w:t>
      </w:r>
    </w:p>
    <w:p>
      <w:pPr>
        <w:rPr>
          <w:rFonts w:ascii="Times New Roman" w:hAnsi="Times New Roman" w:eastAsia="等线" w:cs="Calibri"/>
          <w:bCs/>
          <w:sz w:val="22"/>
          <w:szCs w:val="22"/>
          <w:lang w:val="en-US"/>
        </w:rPr>
      </w:pPr>
      <w:r>
        <w:rPr>
          <w:rFonts w:hint="eastAsia" w:ascii="Times New Roman" w:hAnsi="Times New Roman" w:eastAsia="等线" w:cs="Calibri"/>
          <w:bCs/>
          <w:sz w:val="22"/>
          <w:szCs w:val="22"/>
          <w:lang w:val="en-US"/>
        </w:rPr>
        <w:t xml:space="preserve">In </w:t>
      </w:r>
      <w:r>
        <w:rPr>
          <w:rFonts w:ascii="Times New Roman" w:hAnsi="Times New Roman" w:eastAsia="等线" w:cs="Calibri"/>
          <w:bCs/>
          <w:sz w:val="22"/>
          <w:szCs w:val="22"/>
          <w:lang w:val="en-US"/>
        </w:rPr>
        <w:t>current scope of NR QoE enhancement WI</w:t>
      </w:r>
      <w:r>
        <w:rPr>
          <w:rFonts w:hint="eastAsia" w:ascii="Times New Roman" w:hAnsi="Times New Roman" w:eastAsia="等线" w:cs="Calibri"/>
          <w:bCs/>
          <w:sz w:val="22"/>
          <w:szCs w:val="22"/>
          <w:lang w:val="en-US"/>
        </w:rPr>
        <w:t>, the</w:t>
      </w:r>
      <w:r>
        <w:rPr>
          <w:rFonts w:ascii="Times New Roman" w:hAnsi="Times New Roman" w:eastAsia="等线" w:cs="Calibri"/>
          <w:bCs/>
          <w:sz w:val="22"/>
          <w:szCs w:val="22"/>
          <w:lang w:val="en-US"/>
        </w:rPr>
        <w:t>re will be</w:t>
      </w:r>
      <w:r>
        <w:rPr>
          <w:rFonts w:hint="eastAsia" w:ascii="Times New Roman" w:hAnsi="Times New Roman" w:eastAsia="等线" w:cs="Calibri"/>
          <w:bCs/>
          <w:sz w:val="22"/>
          <w:szCs w:val="22"/>
          <w:lang w:val="en-US"/>
        </w:rPr>
        <w:t xml:space="preserve">  </w:t>
      </w:r>
      <w:r>
        <w:rPr>
          <w:rFonts w:ascii="Times New Roman" w:hAnsi="Times New Roman" w:eastAsia="等线" w:cs="Calibri"/>
          <w:bCs/>
          <w:sz w:val="22"/>
          <w:szCs w:val="22"/>
          <w:lang w:val="en-US"/>
        </w:rPr>
        <w:t>no</w:t>
      </w:r>
      <w:r>
        <w:rPr>
          <w:rFonts w:hint="eastAsia" w:ascii="Times New Roman" w:hAnsi="Times New Roman" w:eastAsia="等线" w:cs="Calibri"/>
          <w:bCs/>
          <w:sz w:val="22"/>
          <w:szCs w:val="22"/>
          <w:lang w:val="en-US"/>
        </w:rPr>
        <w:t xml:space="preserve"> impacts to current LTE specification</w:t>
      </w:r>
      <w:r>
        <w:rPr>
          <w:rFonts w:ascii="Times New Roman" w:hAnsi="Times New Roman" w:eastAsia="等线" w:cs="Calibri"/>
          <w:bCs/>
          <w:sz w:val="22"/>
          <w:szCs w:val="22"/>
          <w:lang w:val="en-US"/>
        </w:rPr>
        <w:t>s.</w:t>
      </w:r>
      <w:r>
        <w:rPr>
          <w:rFonts w:hint="eastAsia" w:ascii="Times New Roman" w:hAnsi="Times New Roman" w:eastAsia="等线" w:cs="Calibri"/>
          <w:bCs/>
          <w:sz w:val="22"/>
          <w:szCs w:val="22"/>
          <w:lang w:val="en-US"/>
        </w:rPr>
        <w:t xml:space="preserve"> </w:t>
      </w:r>
      <w:r>
        <w:rPr>
          <w:rFonts w:ascii="Times New Roman" w:hAnsi="Times New Roman" w:eastAsia="等线" w:cs="Calibri"/>
          <w:bCs/>
          <w:sz w:val="22"/>
          <w:szCs w:val="22"/>
          <w:lang w:val="en-US"/>
        </w:rPr>
        <w:t>B</w:t>
      </w:r>
      <w:r>
        <w:rPr>
          <w:rFonts w:hint="eastAsia" w:ascii="Times New Roman" w:hAnsi="Times New Roman" w:eastAsia="等线" w:cs="Calibri"/>
          <w:bCs/>
          <w:sz w:val="22"/>
          <w:szCs w:val="22"/>
          <w:lang w:val="en-US"/>
        </w:rPr>
        <w:t>ut the QoE configuration for LTE and NR are different, some enhancements for how to coordinate the configuration between LTE and NR are needed.</w:t>
      </w:r>
    </w:p>
    <w:p>
      <w:pPr>
        <w:rPr>
          <w:rFonts w:ascii="Times New Roman" w:hAnsi="Times New Roman" w:eastAsia="等线" w:cs="Calibri"/>
          <w:bCs/>
          <w:sz w:val="22"/>
          <w:szCs w:val="22"/>
          <w:lang w:val="en-US"/>
        </w:rPr>
      </w:pPr>
      <w:r>
        <w:rPr>
          <w:rFonts w:hint="eastAsia" w:ascii="Times New Roman" w:hAnsi="Times New Roman" w:eastAsia="等线" w:cs="Calibri"/>
          <w:bCs/>
          <w:sz w:val="22"/>
          <w:szCs w:val="22"/>
          <w:lang w:val="en-US"/>
        </w:rPr>
        <w:t>Considering there should be no impacts for LTE specification(TS36.331), the QoE configuration inside the RRC container can only transfer one QoE configuration according to current TS36.331. In NR</w:t>
      </w:r>
      <w:r>
        <w:rPr>
          <w:rFonts w:ascii="Times New Roman" w:hAnsi="Times New Roman" w:eastAsia="等线" w:cs="Calibri"/>
          <w:bCs/>
          <w:sz w:val="22"/>
          <w:szCs w:val="22"/>
          <w:lang w:val="en-US"/>
        </w:rPr>
        <w:t xml:space="preserve"> specifications</w:t>
      </w:r>
      <w:r>
        <w:rPr>
          <w:rFonts w:hint="eastAsia" w:ascii="Times New Roman" w:hAnsi="Times New Roman" w:eastAsia="等线" w:cs="Calibri"/>
          <w:bCs/>
          <w:sz w:val="22"/>
          <w:szCs w:val="22"/>
          <w:lang w:val="en-US"/>
        </w:rPr>
        <w:t>, multiple QoE configurations are supported, and only one QoE configuration is supported</w:t>
      </w:r>
      <w:r>
        <w:rPr>
          <w:rFonts w:ascii="Times New Roman" w:hAnsi="Times New Roman" w:eastAsia="等线" w:cs="Calibri"/>
          <w:bCs/>
          <w:sz w:val="22"/>
          <w:szCs w:val="22"/>
          <w:lang w:val="en-US"/>
        </w:rPr>
        <w:t xml:space="preserve"> </w:t>
      </w:r>
      <w:r>
        <w:rPr>
          <w:rFonts w:hint="eastAsia" w:ascii="Times New Roman" w:hAnsi="Times New Roman" w:eastAsia="等线" w:cs="Calibri"/>
          <w:bCs/>
          <w:sz w:val="22"/>
          <w:szCs w:val="22"/>
          <w:lang w:val="en-US"/>
        </w:rPr>
        <w:t>in LTE</w:t>
      </w:r>
      <w:r>
        <w:rPr>
          <w:rFonts w:ascii="Times New Roman" w:hAnsi="Times New Roman" w:eastAsia="等线" w:cs="Calibri"/>
          <w:bCs/>
          <w:sz w:val="22"/>
          <w:szCs w:val="22"/>
          <w:lang w:val="en-US"/>
        </w:rPr>
        <w:t xml:space="preserve"> specifications</w:t>
      </w:r>
      <w:r>
        <w:rPr>
          <w:rFonts w:hint="eastAsia" w:ascii="Times New Roman" w:hAnsi="Times New Roman" w:eastAsia="等线" w:cs="Calibri"/>
          <w:bCs/>
          <w:sz w:val="22"/>
          <w:szCs w:val="22"/>
          <w:lang w:val="en-US"/>
        </w:rPr>
        <w:t>. How to select one of the QoE configuration in multiple NR QoE configurations for LTE need to be discussed, there are two options:</w:t>
      </w:r>
    </w:p>
    <w:p>
      <w:pPr>
        <w:pStyle w:val="38"/>
        <w:numPr>
          <w:ilvl w:val="0"/>
          <w:numId w:val="7"/>
        </w:numPr>
        <w:rPr>
          <w:rFonts w:ascii="Times New Roman" w:hAnsi="Times New Roman" w:eastAsia="等线" w:cs="Calibri"/>
          <w:bCs/>
          <w:sz w:val="22"/>
          <w:szCs w:val="22"/>
          <w:lang w:val="en-US"/>
        </w:rPr>
      </w:pPr>
      <w:r>
        <w:rPr>
          <w:rFonts w:hint="eastAsia" w:ascii="Times New Roman" w:hAnsi="Times New Roman" w:eastAsia="等线" w:cs="Calibri"/>
          <w:bCs/>
          <w:sz w:val="22"/>
          <w:szCs w:val="22"/>
          <w:lang w:val="en-US"/>
        </w:rPr>
        <w:t>Option 1: Source node(NR) decides which QoE configuration to be kept in LTE;</w:t>
      </w:r>
    </w:p>
    <w:p>
      <w:pPr>
        <w:pStyle w:val="38"/>
        <w:numPr>
          <w:ilvl w:val="0"/>
          <w:numId w:val="7"/>
        </w:numPr>
        <w:rPr>
          <w:rFonts w:ascii="Times New Roman" w:hAnsi="Times New Roman" w:eastAsia="等线" w:cs="Calibri"/>
          <w:bCs/>
          <w:sz w:val="22"/>
          <w:szCs w:val="22"/>
          <w:lang w:val="en-US"/>
        </w:rPr>
      </w:pPr>
      <w:r>
        <w:rPr>
          <w:rFonts w:hint="eastAsia" w:ascii="Times New Roman" w:hAnsi="Times New Roman" w:eastAsia="等线" w:cs="Calibri"/>
          <w:bCs/>
          <w:sz w:val="22"/>
          <w:szCs w:val="22"/>
          <w:lang w:val="en-US"/>
        </w:rPr>
        <w:t>Option 2: Target node(LTE) decides which QoE configuration to be kept in LTE.</w:t>
      </w:r>
    </w:p>
    <w:p>
      <w:pPr>
        <w:rPr>
          <w:rFonts w:ascii="Times New Roman" w:hAnsi="Times New Roman" w:eastAsia="等线" w:cs="Calibri"/>
          <w:bCs/>
          <w:sz w:val="22"/>
          <w:szCs w:val="22"/>
          <w:lang w:val="en-US"/>
        </w:rPr>
      </w:pPr>
      <w:r>
        <w:rPr>
          <w:rFonts w:hint="eastAsia" w:ascii="Times New Roman" w:hAnsi="Times New Roman" w:eastAsia="等线" w:cs="Calibri"/>
          <w:bCs/>
          <w:sz w:val="22"/>
          <w:szCs w:val="22"/>
          <w:lang w:val="en-US"/>
        </w:rPr>
        <w:t>For option 1, the source node can select one QoE configuration for streaming and MTSI service, then send this configuration inside the RRC container via HandoverPreparationInformation message to LTE. But if the target node doesn’t support the QoE configuration send from the source node, no QoE configuration can be resumed.</w:t>
      </w:r>
    </w:p>
    <w:p>
      <w:pPr>
        <w:rPr>
          <w:rFonts w:ascii="Times New Roman" w:hAnsi="Times New Roman" w:eastAsia="等线" w:cs="Calibri"/>
          <w:bCs/>
          <w:sz w:val="22"/>
          <w:szCs w:val="22"/>
          <w:lang w:val="en-US"/>
        </w:rPr>
      </w:pPr>
      <w:r>
        <w:rPr>
          <w:rFonts w:hint="eastAsia" w:ascii="Times New Roman" w:hAnsi="Times New Roman" w:eastAsia="等线" w:cs="Calibri"/>
          <w:bCs/>
          <w:sz w:val="22"/>
          <w:szCs w:val="22"/>
          <w:lang w:val="en-US"/>
        </w:rPr>
        <w:t xml:space="preserve">For option 2, all the s-based QoE configurations can be sent from NR to LTE outside the RRC container, which can be included in the UE Application Layer Measurement Configuration Information message defined in Ng/Xn specification. Then target node can select one of the QoE configuration to continue </w:t>
      </w:r>
      <w:r>
        <w:rPr>
          <w:rFonts w:ascii="Times New Roman" w:hAnsi="Times New Roman" w:eastAsia="等线" w:cs="Calibri"/>
          <w:bCs/>
          <w:sz w:val="22"/>
          <w:szCs w:val="22"/>
          <w:lang w:val="en-US"/>
        </w:rPr>
        <w:t xml:space="preserve">to use </w:t>
      </w:r>
      <w:r>
        <w:rPr>
          <w:rFonts w:hint="eastAsia" w:ascii="Times New Roman" w:hAnsi="Times New Roman" w:eastAsia="等线" w:cs="Calibri"/>
          <w:bCs/>
          <w:sz w:val="22"/>
          <w:szCs w:val="22"/>
          <w:lang w:val="en-US"/>
        </w:rPr>
        <w:t>in the target node. In this method, the QoE configuration in the RRC container will not be the final decision for the QoE configuration which need to be ke</w:t>
      </w:r>
      <w:r>
        <w:rPr>
          <w:rFonts w:ascii="Times New Roman" w:hAnsi="Times New Roman" w:eastAsia="等线" w:cs="Calibri"/>
          <w:bCs/>
          <w:sz w:val="22"/>
          <w:szCs w:val="22"/>
          <w:lang w:val="en-US"/>
        </w:rPr>
        <w:t>pt</w:t>
      </w:r>
      <w:r>
        <w:rPr>
          <w:rFonts w:hint="eastAsia" w:ascii="Times New Roman" w:hAnsi="Times New Roman" w:eastAsia="等线" w:cs="Calibri"/>
          <w:bCs/>
          <w:sz w:val="22"/>
          <w:szCs w:val="22"/>
          <w:lang w:val="en-US"/>
        </w:rPr>
        <w:t xml:space="preserve"> in the target node. If the target node support</w:t>
      </w:r>
      <w:r>
        <w:rPr>
          <w:rFonts w:ascii="Times New Roman" w:hAnsi="Times New Roman" w:eastAsia="等线" w:cs="Calibri"/>
          <w:bCs/>
          <w:sz w:val="22"/>
          <w:szCs w:val="22"/>
          <w:lang w:val="en-US"/>
        </w:rPr>
        <w:t>s</w:t>
      </w:r>
      <w:r>
        <w:rPr>
          <w:rFonts w:hint="eastAsia" w:ascii="Times New Roman" w:hAnsi="Times New Roman" w:eastAsia="等线" w:cs="Calibri"/>
          <w:bCs/>
          <w:sz w:val="22"/>
          <w:szCs w:val="22"/>
          <w:lang w:val="en-US"/>
        </w:rPr>
        <w:t xml:space="preserve"> the QoE configuration in the RRC container, it need</w:t>
      </w:r>
      <w:r>
        <w:rPr>
          <w:rFonts w:ascii="Times New Roman" w:hAnsi="Times New Roman" w:eastAsia="等线" w:cs="Calibri"/>
          <w:bCs/>
          <w:sz w:val="22"/>
          <w:szCs w:val="22"/>
          <w:lang w:val="en-US"/>
        </w:rPr>
        <w:t>s</w:t>
      </w:r>
      <w:r>
        <w:rPr>
          <w:rFonts w:hint="eastAsia" w:ascii="Times New Roman" w:hAnsi="Times New Roman" w:eastAsia="等线" w:cs="Calibri"/>
          <w:bCs/>
          <w:sz w:val="22"/>
          <w:szCs w:val="22"/>
          <w:lang w:val="en-US"/>
        </w:rPr>
        <w:t xml:space="preserve"> to continue the measurement which is sen</w:t>
      </w:r>
      <w:r>
        <w:rPr>
          <w:rFonts w:ascii="Times New Roman" w:hAnsi="Times New Roman" w:eastAsia="等线" w:cs="Calibri"/>
          <w:bCs/>
          <w:sz w:val="22"/>
          <w:szCs w:val="22"/>
          <w:lang w:val="en-US"/>
        </w:rPr>
        <w:t>t</w:t>
      </w:r>
      <w:r>
        <w:rPr>
          <w:rFonts w:hint="eastAsia" w:ascii="Times New Roman" w:hAnsi="Times New Roman" w:eastAsia="等线" w:cs="Calibri"/>
          <w:bCs/>
          <w:sz w:val="22"/>
          <w:szCs w:val="22"/>
          <w:lang w:val="en-US"/>
        </w:rPr>
        <w:t xml:space="preserve"> from source node to target node in the RRC container</w:t>
      </w:r>
      <w:r>
        <w:rPr>
          <w:rFonts w:ascii="Times New Roman" w:hAnsi="Times New Roman" w:eastAsia="等线" w:cs="Calibri"/>
          <w:bCs/>
          <w:sz w:val="22"/>
          <w:szCs w:val="22"/>
          <w:lang w:val="en-US"/>
        </w:rPr>
        <w:t>.</w:t>
      </w:r>
      <w:r>
        <w:rPr>
          <w:rFonts w:hint="eastAsia" w:ascii="Times New Roman" w:hAnsi="Times New Roman" w:eastAsia="等线" w:cs="Calibri"/>
          <w:bCs/>
          <w:sz w:val="22"/>
          <w:szCs w:val="22"/>
          <w:lang w:val="en-US"/>
        </w:rPr>
        <w:t xml:space="preserve"> </w:t>
      </w:r>
      <w:r>
        <w:rPr>
          <w:rFonts w:ascii="Times New Roman" w:hAnsi="Times New Roman" w:eastAsia="等线" w:cs="Calibri"/>
          <w:bCs/>
          <w:sz w:val="22"/>
          <w:szCs w:val="22"/>
          <w:lang w:val="en-US"/>
        </w:rPr>
        <w:t>I</w:t>
      </w:r>
      <w:r>
        <w:rPr>
          <w:rFonts w:hint="eastAsia" w:ascii="Times New Roman" w:hAnsi="Times New Roman" w:eastAsia="等线" w:cs="Calibri"/>
          <w:bCs/>
          <w:sz w:val="22"/>
          <w:szCs w:val="22"/>
          <w:lang w:val="en-US"/>
        </w:rPr>
        <w:t>f the target node can</w:t>
      </w:r>
      <w:r>
        <w:rPr>
          <w:rFonts w:ascii="Times New Roman" w:hAnsi="Times New Roman" w:eastAsia="等线" w:cs="Calibri"/>
          <w:bCs/>
          <w:sz w:val="22"/>
          <w:szCs w:val="22"/>
          <w:lang w:val="en-US"/>
        </w:rPr>
        <w:t>’</w:t>
      </w:r>
      <w:r>
        <w:rPr>
          <w:rFonts w:hint="eastAsia" w:ascii="Times New Roman" w:hAnsi="Times New Roman" w:eastAsia="等线" w:cs="Calibri"/>
          <w:bCs/>
          <w:sz w:val="22"/>
          <w:szCs w:val="22"/>
          <w:lang w:val="en-US"/>
        </w:rPr>
        <w:t>t support the QoE configuration in the RRC container, it can select another s-based QoE configuration outside the container.</w:t>
      </w:r>
    </w:p>
    <w:p>
      <w:pPr>
        <w:rPr>
          <w:rFonts w:ascii="Times New Roman" w:hAnsi="Times New Roman" w:eastAsia="等线" w:cs="Calibri"/>
          <w:b/>
          <w:sz w:val="22"/>
          <w:szCs w:val="22"/>
          <w:lang w:val="en-US"/>
        </w:rPr>
      </w:pPr>
      <w:r>
        <w:rPr>
          <w:rFonts w:hint="eastAsia" w:ascii="Times New Roman" w:hAnsi="Times New Roman" w:eastAsia="等线" w:cs="Calibri"/>
          <w:b/>
          <w:sz w:val="22"/>
          <w:szCs w:val="22"/>
          <w:lang w:val="en-US"/>
        </w:rPr>
        <w:t>Proposal 2: For HO from NR to LTE/5GC, only one QoE configuration can be ke</w:t>
      </w:r>
      <w:r>
        <w:rPr>
          <w:rFonts w:ascii="Times New Roman" w:hAnsi="Times New Roman" w:eastAsia="等线" w:cs="Calibri"/>
          <w:b/>
          <w:sz w:val="22"/>
          <w:szCs w:val="22"/>
          <w:lang w:val="en-US"/>
        </w:rPr>
        <w:t>pt</w:t>
      </w:r>
      <w:r>
        <w:rPr>
          <w:rFonts w:hint="eastAsia" w:ascii="Times New Roman" w:hAnsi="Times New Roman" w:eastAsia="等线" w:cs="Calibri"/>
          <w:b/>
          <w:sz w:val="22"/>
          <w:szCs w:val="22"/>
          <w:lang w:val="en-US"/>
        </w:rPr>
        <w:t xml:space="preserve">, source gNB </w:t>
      </w:r>
      <w:r>
        <w:rPr>
          <w:rFonts w:ascii="Times New Roman" w:hAnsi="Times New Roman" w:eastAsia="等线" w:cs="Calibri"/>
          <w:b/>
          <w:sz w:val="22"/>
          <w:szCs w:val="22"/>
          <w:lang w:val="en-US"/>
        </w:rPr>
        <w:t>can</w:t>
      </w:r>
      <w:r>
        <w:rPr>
          <w:rFonts w:hint="eastAsia" w:ascii="Times New Roman" w:hAnsi="Times New Roman" w:eastAsia="等线" w:cs="Calibri"/>
          <w:b/>
          <w:sz w:val="22"/>
          <w:szCs w:val="22"/>
          <w:lang w:val="en-US"/>
        </w:rPr>
        <w:t xml:space="preserve"> transmit all signaling-based QoE configuration to target NG-eNB, and include a recommended QoE configuration in RRC container(HandoverPreparationInformation)</w:t>
      </w:r>
      <w:r>
        <w:rPr>
          <w:rFonts w:ascii="Times New Roman" w:hAnsi="Times New Roman" w:eastAsia="等线" w:cs="Calibri"/>
          <w:b/>
          <w:sz w:val="22"/>
          <w:szCs w:val="22"/>
          <w:lang w:val="en-US"/>
        </w:rPr>
        <w:t>.</w:t>
      </w:r>
    </w:p>
    <w:p>
      <w:pPr>
        <w:rPr>
          <w:rFonts w:ascii="Times New Roman" w:hAnsi="Times New Roman" w:eastAsia="等线" w:cs="Calibri"/>
          <w:b/>
          <w:sz w:val="22"/>
          <w:szCs w:val="22"/>
          <w:lang w:val="en-US"/>
        </w:rPr>
      </w:pPr>
    </w:p>
    <w:p>
      <w:pPr>
        <w:pStyle w:val="2"/>
        <w:rPr>
          <w:rFonts w:eastAsia="宋体"/>
        </w:rPr>
      </w:pPr>
      <w:r>
        <w:rPr>
          <w:rFonts w:eastAsia="宋体"/>
        </w:rPr>
        <w:t>Conclusion</w:t>
      </w:r>
    </w:p>
    <w:p>
      <w:pPr>
        <w:rPr>
          <w:rFonts w:ascii="Times New Roman" w:hAnsi="Times New Roman" w:eastAsia="等线"/>
          <w:bCs/>
          <w:sz w:val="22"/>
          <w:szCs w:val="22"/>
        </w:rPr>
      </w:pPr>
      <w:r>
        <w:rPr>
          <w:rFonts w:hint="eastAsia" w:ascii="Times New Roman" w:hAnsi="Times New Roman" w:eastAsia="等线"/>
          <w:b/>
          <w:sz w:val="22"/>
          <w:szCs w:val="22"/>
          <w:lang w:val="en-US"/>
        </w:rPr>
        <w:t>Proposal 1:</w:t>
      </w:r>
      <w:r>
        <w:rPr>
          <w:rFonts w:ascii="Times New Roman" w:hAnsi="Times New Roman" w:eastAsia="等线"/>
          <w:b/>
          <w:sz w:val="22"/>
          <w:szCs w:val="22"/>
          <w:lang w:val="en-US"/>
        </w:rPr>
        <w:t xml:space="preserve"> </w:t>
      </w:r>
      <w:r>
        <w:rPr>
          <w:rFonts w:hint="eastAsia" w:ascii="Times New Roman" w:hAnsi="Times New Roman" w:eastAsia="宋体"/>
          <w:b/>
          <w:sz w:val="21"/>
          <w:szCs w:val="21"/>
          <w:lang w:val="en-US"/>
        </w:rPr>
        <w:t>QoE reporting priority should be included in the QoE configuration</w:t>
      </w:r>
      <w:r>
        <w:rPr>
          <w:rFonts w:hint="eastAsia" w:ascii="Times New Roman" w:hAnsi="Times New Roman" w:eastAsia="等线"/>
          <w:b/>
          <w:sz w:val="22"/>
          <w:szCs w:val="22"/>
          <w:lang w:val="en-US"/>
        </w:rPr>
        <w:t>.</w:t>
      </w:r>
    </w:p>
    <w:p>
      <w:pPr>
        <w:rPr>
          <w:lang w:val="en-US"/>
        </w:rPr>
      </w:pPr>
      <w:r>
        <w:rPr>
          <w:rFonts w:hint="eastAsia" w:ascii="Times New Roman" w:hAnsi="Times New Roman" w:eastAsia="等线" w:cs="Calibri"/>
          <w:b/>
          <w:sz w:val="22"/>
          <w:szCs w:val="22"/>
          <w:lang w:val="en-US"/>
        </w:rPr>
        <w:t>Proposal 2: For HO from NR to LTE/5GC, only one QoE configuration can be ke</w:t>
      </w:r>
      <w:r>
        <w:rPr>
          <w:rFonts w:ascii="Times New Roman" w:hAnsi="Times New Roman" w:eastAsia="等线" w:cs="Calibri"/>
          <w:b/>
          <w:sz w:val="22"/>
          <w:szCs w:val="22"/>
          <w:lang w:val="en-US"/>
        </w:rPr>
        <w:t>pt</w:t>
      </w:r>
      <w:r>
        <w:rPr>
          <w:rFonts w:hint="eastAsia" w:ascii="Times New Roman" w:hAnsi="Times New Roman" w:eastAsia="等线" w:cs="Calibri"/>
          <w:b/>
          <w:sz w:val="22"/>
          <w:szCs w:val="22"/>
          <w:lang w:val="en-US"/>
        </w:rPr>
        <w:t xml:space="preserve">, source gNB </w:t>
      </w:r>
      <w:r>
        <w:rPr>
          <w:rFonts w:ascii="Times New Roman" w:hAnsi="Times New Roman" w:eastAsia="等线" w:cs="Calibri"/>
          <w:b/>
          <w:sz w:val="22"/>
          <w:szCs w:val="22"/>
          <w:lang w:val="en-US"/>
        </w:rPr>
        <w:t>can</w:t>
      </w:r>
      <w:r>
        <w:rPr>
          <w:rFonts w:hint="eastAsia" w:ascii="Times New Roman" w:hAnsi="Times New Roman" w:eastAsia="等线" w:cs="Calibri"/>
          <w:b/>
          <w:sz w:val="22"/>
          <w:szCs w:val="22"/>
          <w:lang w:val="en-US"/>
        </w:rPr>
        <w:t xml:space="preserve"> transmit all signaling-based QoE configuration to target NG-eNB, and include a recommended QoE configuration in RRC container(HandoverPreparationInformation)</w:t>
      </w:r>
      <w:r>
        <w:rPr>
          <w:rFonts w:ascii="Times New Roman" w:hAnsi="Times New Roman" w:eastAsia="等线" w:cs="Calibri"/>
          <w:b/>
          <w:sz w:val="22"/>
          <w:szCs w:val="22"/>
          <w:lang w:val="en-US"/>
        </w:rPr>
        <w:t>.</w:t>
      </w:r>
      <w:bookmarkStart w:id="0" w:name="_GoBack"/>
      <w:bookmarkEnd w:id="0"/>
    </w:p>
    <w:sectPr>
      <w:footerReference r:id="rId5" w:type="default"/>
      <w:headerReference r:id="rId4" w:type="even"/>
      <w:footnotePr>
        <w:numRestart w:val="eachSect"/>
      </w:footnotePr>
      <w:pgSz w:w="11907" w:h="16840"/>
      <w:pgMar w:top="1134" w:right="1134" w:bottom="1080"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CG Times (WN)">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sdtPr>
    <w:sdtContent>
      <w:p>
        <w:pPr>
          <w:pStyle w:val="15"/>
        </w:pPr>
        <w:r>
          <w:fldChar w:fldCharType="begin"/>
        </w:r>
        <w:r>
          <w:instrText xml:space="preserve"> PAGE   \* MERGEFORMAT </w:instrText>
        </w:r>
        <w:r>
          <w:fldChar w:fldCharType="separate"/>
        </w:r>
        <w:r>
          <w:t>4</w:t>
        </w:r>
        <w:r>
          <w:fldChar w:fldCharType="end"/>
        </w:r>
      </w:p>
    </w:sdtContent>
  </w:sdt>
  <w:p>
    <w:pPr>
      <w:pStyle w:val="15"/>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CC53F71"/>
    <w:multiLevelType w:val="multilevel"/>
    <w:tmpl w:val="2CC53F71"/>
    <w:lvl w:ilvl="0" w:tentative="0">
      <w:start w:val="1"/>
      <w:numFmt w:val="bullet"/>
      <w:lvlText w:val=""/>
      <w:lvlJc w:val="left"/>
      <w:pPr>
        <w:ind w:left="640" w:hanging="440"/>
      </w:pPr>
      <w:rPr>
        <w:rFonts w:hint="default" w:ascii="Wingdings" w:hAnsi="Wingdings"/>
      </w:rPr>
    </w:lvl>
    <w:lvl w:ilvl="1" w:tentative="0">
      <w:start w:val="1"/>
      <w:numFmt w:val="bullet"/>
      <w:lvlText w:val=""/>
      <w:lvlJc w:val="left"/>
      <w:pPr>
        <w:ind w:left="1080" w:hanging="440"/>
      </w:pPr>
      <w:rPr>
        <w:rFonts w:hint="default" w:ascii="Wingdings" w:hAnsi="Wingdings"/>
      </w:rPr>
    </w:lvl>
    <w:lvl w:ilvl="2" w:tentative="0">
      <w:start w:val="1"/>
      <w:numFmt w:val="bullet"/>
      <w:lvlText w:val=""/>
      <w:lvlJc w:val="left"/>
      <w:pPr>
        <w:ind w:left="1520" w:hanging="440"/>
      </w:pPr>
      <w:rPr>
        <w:rFonts w:hint="default" w:ascii="Wingdings" w:hAnsi="Wingdings"/>
      </w:rPr>
    </w:lvl>
    <w:lvl w:ilvl="3" w:tentative="0">
      <w:start w:val="1"/>
      <w:numFmt w:val="bullet"/>
      <w:lvlText w:val=""/>
      <w:lvlJc w:val="left"/>
      <w:pPr>
        <w:ind w:left="1960" w:hanging="440"/>
      </w:pPr>
      <w:rPr>
        <w:rFonts w:hint="default" w:ascii="Wingdings" w:hAnsi="Wingdings"/>
      </w:rPr>
    </w:lvl>
    <w:lvl w:ilvl="4" w:tentative="0">
      <w:start w:val="1"/>
      <w:numFmt w:val="bullet"/>
      <w:lvlText w:val=""/>
      <w:lvlJc w:val="left"/>
      <w:pPr>
        <w:ind w:left="2400" w:hanging="440"/>
      </w:pPr>
      <w:rPr>
        <w:rFonts w:hint="default" w:ascii="Wingdings" w:hAnsi="Wingdings"/>
      </w:rPr>
    </w:lvl>
    <w:lvl w:ilvl="5" w:tentative="0">
      <w:start w:val="1"/>
      <w:numFmt w:val="bullet"/>
      <w:lvlText w:val=""/>
      <w:lvlJc w:val="left"/>
      <w:pPr>
        <w:ind w:left="2840" w:hanging="440"/>
      </w:pPr>
      <w:rPr>
        <w:rFonts w:hint="default" w:ascii="Wingdings" w:hAnsi="Wingdings"/>
      </w:rPr>
    </w:lvl>
    <w:lvl w:ilvl="6" w:tentative="0">
      <w:start w:val="1"/>
      <w:numFmt w:val="bullet"/>
      <w:lvlText w:val=""/>
      <w:lvlJc w:val="left"/>
      <w:pPr>
        <w:ind w:left="3280" w:hanging="440"/>
      </w:pPr>
      <w:rPr>
        <w:rFonts w:hint="default" w:ascii="Wingdings" w:hAnsi="Wingdings"/>
      </w:rPr>
    </w:lvl>
    <w:lvl w:ilvl="7" w:tentative="0">
      <w:start w:val="1"/>
      <w:numFmt w:val="bullet"/>
      <w:lvlText w:val=""/>
      <w:lvlJc w:val="left"/>
      <w:pPr>
        <w:ind w:left="3720" w:hanging="440"/>
      </w:pPr>
      <w:rPr>
        <w:rFonts w:hint="default" w:ascii="Wingdings" w:hAnsi="Wingdings"/>
      </w:rPr>
    </w:lvl>
    <w:lvl w:ilvl="8" w:tentative="0">
      <w:start w:val="1"/>
      <w:numFmt w:val="bullet"/>
      <w:lvlText w:val=""/>
      <w:lvlJc w:val="left"/>
      <w:pPr>
        <w:ind w:left="4160" w:hanging="440"/>
      </w:pPr>
      <w:rPr>
        <w:rFonts w:hint="default" w:ascii="Wingdings" w:hAnsi="Wingdings"/>
      </w:rPr>
    </w:lvl>
  </w:abstractNum>
  <w:abstractNum w:abstractNumId="3">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BDF65F6"/>
    <w:multiLevelType w:val="multilevel"/>
    <w:tmpl w:val="4BDF65F6"/>
    <w:lvl w:ilvl="0" w:tentative="0">
      <w:start w:val="1"/>
      <w:numFmt w:val="decimal"/>
      <w:pStyle w:val="6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5101505E"/>
    <w:multiLevelType w:val="multilevel"/>
    <w:tmpl w:val="5101505E"/>
    <w:lvl w:ilvl="0" w:tentative="0">
      <w:start w:val="1"/>
      <w:numFmt w:val="decimal"/>
      <w:pStyle w:val="69"/>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4"/>
  </w:num>
  <w:num w:numId="3">
    <w:abstractNumId w:val="3"/>
  </w:num>
  <w:num w:numId="4">
    <w:abstractNumId w:val="6"/>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1304"/>
  <w:hyphenationZone w:val="425"/>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4947"/>
    <w:rsid w:val="0003527D"/>
    <w:rsid w:val="000353D5"/>
    <w:rsid w:val="00035C3A"/>
    <w:rsid w:val="00035DD7"/>
    <w:rsid w:val="00035ED7"/>
    <w:rsid w:val="00035F58"/>
    <w:rsid w:val="00036135"/>
    <w:rsid w:val="000361BC"/>
    <w:rsid w:val="000363B4"/>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3818"/>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6F45"/>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01"/>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3D16"/>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800"/>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984"/>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4EAE"/>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4BFA"/>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DFC"/>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0C2E"/>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BAE"/>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891"/>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1510"/>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44AD"/>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605"/>
    <w:rsid w:val="003F18AA"/>
    <w:rsid w:val="003F1D8A"/>
    <w:rsid w:val="003F241A"/>
    <w:rsid w:val="003F26F8"/>
    <w:rsid w:val="003F2BBB"/>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694"/>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88"/>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5B3"/>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0CBE"/>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13"/>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3FB"/>
    <w:rsid w:val="00694562"/>
    <w:rsid w:val="0069472A"/>
    <w:rsid w:val="00694896"/>
    <w:rsid w:val="00694C2C"/>
    <w:rsid w:val="00694E30"/>
    <w:rsid w:val="00695A5C"/>
    <w:rsid w:val="00696F08"/>
    <w:rsid w:val="006979B1"/>
    <w:rsid w:val="006A0A5A"/>
    <w:rsid w:val="006A1AAC"/>
    <w:rsid w:val="006A1E47"/>
    <w:rsid w:val="006A33E9"/>
    <w:rsid w:val="006A34E3"/>
    <w:rsid w:val="006A3EE4"/>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7E4"/>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1B4"/>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5C17"/>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37523"/>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65"/>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0E31"/>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E7D"/>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86F"/>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43"/>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065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3C1"/>
    <w:rsid w:val="009364B4"/>
    <w:rsid w:val="00936A03"/>
    <w:rsid w:val="00936A55"/>
    <w:rsid w:val="00936DA2"/>
    <w:rsid w:val="00937151"/>
    <w:rsid w:val="0093773C"/>
    <w:rsid w:val="00937BCA"/>
    <w:rsid w:val="00937DA2"/>
    <w:rsid w:val="00940452"/>
    <w:rsid w:val="009408CC"/>
    <w:rsid w:val="00941939"/>
    <w:rsid w:val="00943641"/>
    <w:rsid w:val="00943893"/>
    <w:rsid w:val="009448CD"/>
    <w:rsid w:val="00945120"/>
    <w:rsid w:val="009451EC"/>
    <w:rsid w:val="00945FC3"/>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6D9"/>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511"/>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3FC5"/>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9F5"/>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0CB"/>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38F"/>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2D6"/>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488B"/>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9FF"/>
    <w:rsid w:val="00B87A40"/>
    <w:rsid w:val="00B87B59"/>
    <w:rsid w:val="00B902C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4CF"/>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3CAE"/>
    <w:rsid w:val="00C65196"/>
    <w:rsid w:val="00C657CB"/>
    <w:rsid w:val="00C67471"/>
    <w:rsid w:val="00C67540"/>
    <w:rsid w:val="00C679ED"/>
    <w:rsid w:val="00C71DCB"/>
    <w:rsid w:val="00C72172"/>
    <w:rsid w:val="00C73697"/>
    <w:rsid w:val="00C7376B"/>
    <w:rsid w:val="00C73834"/>
    <w:rsid w:val="00C739A3"/>
    <w:rsid w:val="00C7400A"/>
    <w:rsid w:val="00C747D1"/>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6C39"/>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8B6"/>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A50"/>
    <w:rsid w:val="00DE1DB7"/>
    <w:rsid w:val="00DE1DF1"/>
    <w:rsid w:val="00DE32B1"/>
    <w:rsid w:val="00DE3354"/>
    <w:rsid w:val="00DE3662"/>
    <w:rsid w:val="00DE3C53"/>
    <w:rsid w:val="00DE4833"/>
    <w:rsid w:val="00DE4A4F"/>
    <w:rsid w:val="00DE4EB8"/>
    <w:rsid w:val="00DE53ED"/>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07F0E"/>
    <w:rsid w:val="00E103D0"/>
    <w:rsid w:val="00E105A6"/>
    <w:rsid w:val="00E1068E"/>
    <w:rsid w:val="00E10838"/>
    <w:rsid w:val="00E10A59"/>
    <w:rsid w:val="00E113A7"/>
    <w:rsid w:val="00E1155A"/>
    <w:rsid w:val="00E11ADF"/>
    <w:rsid w:val="00E12187"/>
    <w:rsid w:val="00E123AB"/>
    <w:rsid w:val="00E12463"/>
    <w:rsid w:val="00E1258C"/>
    <w:rsid w:val="00E1267B"/>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947"/>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61E"/>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86F3C"/>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78F"/>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4ED7"/>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5D"/>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EBC"/>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093"/>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112562C"/>
    <w:rsid w:val="018800AA"/>
    <w:rsid w:val="01953CF4"/>
    <w:rsid w:val="01D95EDD"/>
    <w:rsid w:val="01FF420C"/>
    <w:rsid w:val="02296E92"/>
    <w:rsid w:val="023117D2"/>
    <w:rsid w:val="02BE4901"/>
    <w:rsid w:val="02BE598D"/>
    <w:rsid w:val="03823CCE"/>
    <w:rsid w:val="04752218"/>
    <w:rsid w:val="04806B7E"/>
    <w:rsid w:val="05367F5E"/>
    <w:rsid w:val="05C55C2E"/>
    <w:rsid w:val="05D360C1"/>
    <w:rsid w:val="0637581D"/>
    <w:rsid w:val="063F7AB5"/>
    <w:rsid w:val="06BD2FCD"/>
    <w:rsid w:val="07564B65"/>
    <w:rsid w:val="07AB3B7E"/>
    <w:rsid w:val="08CD339C"/>
    <w:rsid w:val="08CF208F"/>
    <w:rsid w:val="091907C8"/>
    <w:rsid w:val="093667F2"/>
    <w:rsid w:val="09542584"/>
    <w:rsid w:val="0998330D"/>
    <w:rsid w:val="09D72C99"/>
    <w:rsid w:val="0A491491"/>
    <w:rsid w:val="0A691B6E"/>
    <w:rsid w:val="0AC71EE3"/>
    <w:rsid w:val="0B5F6E5D"/>
    <w:rsid w:val="0BD95AE1"/>
    <w:rsid w:val="0C1C61E1"/>
    <w:rsid w:val="0C303ECB"/>
    <w:rsid w:val="0C8655D1"/>
    <w:rsid w:val="0CC46135"/>
    <w:rsid w:val="0E1D4901"/>
    <w:rsid w:val="0E9E384F"/>
    <w:rsid w:val="0F525467"/>
    <w:rsid w:val="0F8B024A"/>
    <w:rsid w:val="0FDA68AA"/>
    <w:rsid w:val="111F41C0"/>
    <w:rsid w:val="11A502B5"/>
    <w:rsid w:val="11CA3E95"/>
    <w:rsid w:val="11DA3FAE"/>
    <w:rsid w:val="125A4EAA"/>
    <w:rsid w:val="127B018E"/>
    <w:rsid w:val="12A02E80"/>
    <w:rsid w:val="12B23BCF"/>
    <w:rsid w:val="13270AC8"/>
    <w:rsid w:val="13392E6D"/>
    <w:rsid w:val="134342A3"/>
    <w:rsid w:val="144C30DB"/>
    <w:rsid w:val="14576AE2"/>
    <w:rsid w:val="146C2A33"/>
    <w:rsid w:val="14764DB5"/>
    <w:rsid w:val="15EF77C6"/>
    <w:rsid w:val="166824B4"/>
    <w:rsid w:val="16E46B93"/>
    <w:rsid w:val="17060160"/>
    <w:rsid w:val="183C4134"/>
    <w:rsid w:val="18650326"/>
    <w:rsid w:val="190A2F6F"/>
    <w:rsid w:val="193623D1"/>
    <w:rsid w:val="197A336A"/>
    <w:rsid w:val="19DF5C37"/>
    <w:rsid w:val="19E57B15"/>
    <w:rsid w:val="1A145EE5"/>
    <w:rsid w:val="1A1B310D"/>
    <w:rsid w:val="1A5D4B06"/>
    <w:rsid w:val="1ADD0F9D"/>
    <w:rsid w:val="1B545DD1"/>
    <w:rsid w:val="1C1E5D3E"/>
    <w:rsid w:val="1CE41ED4"/>
    <w:rsid w:val="1D026CF9"/>
    <w:rsid w:val="1D2241D4"/>
    <w:rsid w:val="1D43574A"/>
    <w:rsid w:val="1D634F0F"/>
    <w:rsid w:val="1F8B4261"/>
    <w:rsid w:val="1F9B7FFA"/>
    <w:rsid w:val="1FA54280"/>
    <w:rsid w:val="1FF706DD"/>
    <w:rsid w:val="211516F9"/>
    <w:rsid w:val="21171155"/>
    <w:rsid w:val="226E17EF"/>
    <w:rsid w:val="229E0E8F"/>
    <w:rsid w:val="22C20E17"/>
    <w:rsid w:val="22C9418D"/>
    <w:rsid w:val="23154713"/>
    <w:rsid w:val="23917DB2"/>
    <w:rsid w:val="23C82B52"/>
    <w:rsid w:val="23C925DD"/>
    <w:rsid w:val="242F2C13"/>
    <w:rsid w:val="244F69B0"/>
    <w:rsid w:val="24C2655C"/>
    <w:rsid w:val="24E56C29"/>
    <w:rsid w:val="257139A1"/>
    <w:rsid w:val="27C16C30"/>
    <w:rsid w:val="27DF4678"/>
    <w:rsid w:val="283D4410"/>
    <w:rsid w:val="295419DA"/>
    <w:rsid w:val="29B06017"/>
    <w:rsid w:val="29FE4971"/>
    <w:rsid w:val="2A2806F3"/>
    <w:rsid w:val="2A305EC5"/>
    <w:rsid w:val="2A947DE8"/>
    <w:rsid w:val="2AA22934"/>
    <w:rsid w:val="2AC43948"/>
    <w:rsid w:val="2B28065B"/>
    <w:rsid w:val="2B345733"/>
    <w:rsid w:val="2B3F72B2"/>
    <w:rsid w:val="2B4F306B"/>
    <w:rsid w:val="2B7259B8"/>
    <w:rsid w:val="2BC947D2"/>
    <w:rsid w:val="2BDB354D"/>
    <w:rsid w:val="2C4C4BBC"/>
    <w:rsid w:val="2C925493"/>
    <w:rsid w:val="2CE03230"/>
    <w:rsid w:val="2D30621A"/>
    <w:rsid w:val="2DE64CDC"/>
    <w:rsid w:val="2E177FDB"/>
    <w:rsid w:val="2E3118D8"/>
    <w:rsid w:val="2E462A06"/>
    <w:rsid w:val="2E6A74B4"/>
    <w:rsid w:val="2E6D0438"/>
    <w:rsid w:val="2F157F4A"/>
    <w:rsid w:val="2F6621DF"/>
    <w:rsid w:val="2FB510EC"/>
    <w:rsid w:val="2FC32F68"/>
    <w:rsid w:val="30761D31"/>
    <w:rsid w:val="30BA3ED1"/>
    <w:rsid w:val="30BE3A29"/>
    <w:rsid w:val="31204968"/>
    <w:rsid w:val="33EA35AD"/>
    <w:rsid w:val="353A0AAB"/>
    <w:rsid w:val="357339D9"/>
    <w:rsid w:val="35A10BB2"/>
    <w:rsid w:val="36273A23"/>
    <w:rsid w:val="362B08C7"/>
    <w:rsid w:val="362E7B8F"/>
    <w:rsid w:val="36310C28"/>
    <w:rsid w:val="36792C62"/>
    <w:rsid w:val="368461D9"/>
    <w:rsid w:val="36F40202"/>
    <w:rsid w:val="37166B78"/>
    <w:rsid w:val="376A5776"/>
    <w:rsid w:val="382B3FB2"/>
    <w:rsid w:val="38C079AD"/>
    <w:rsid w:val="38C9453B"/>
    <w:rsid w:val="39004CC5"/>
    <w:rsid w:val="392D14D4"/>
    <w:rsid w:val="39411259"/>
    <w:rsid w:val="39446403"/>
    <w:rsid w:val="39796DCB"/>
    <w:rsid w:val="399043AA"/>
    <w:rsid w:val="3AE31128"/>
    <w:rsid w:val="3B674128"/>
    <w:rsid w:val="3BF646CD"/>
    <w:rsid w:val="3C7209A7"/>
    <w:rsid w:val="3CA45F55"/>
    <w:rsid w:val="3CAF0622"/>
    <w:rsid w:val="3CED5BAF"/>
    <w:rsid w:val="3D8F4103"/>
    <w:rsid w:val="3E71782D"/>
    <w:rsid w:val="3F486CE9"/>
    <w:rsid w:val="3F5546BC"/>
    <w:rsid w:val="3F684F93"/>
    <w:rsid w:val="3FE148A8"/>
    <w:rsid w:val="3FE27CDB"/>
    <w:rsid w:val="3FEA48A9"/>
    <w:rsid w:val="3FED4319"/>
    <w:rsid w:val="415838B3"/>
    <w:rsid w:val="422C2522"/>
    <w:rsid w:val="42464D8C"/>
    <w:rsid w:val="42AC253D"/>
    <w:rsid w:val="43266FB8"/>
    <w:rsid w:val="43AC0714"/>
    <w:rsid w:val="43CF451B"/>
    <w:rsid w:val="43E26D2A"/>
    <w:rsid w:val="44EE7080"/>
    <w:rsid w:val="44F745CF"/>
    <w:rsid w:val="451C4FB1"/>
    <w:rsid w:val="455517CB"/>
    <w:rsid w:val="457825E4"/>
    <w:rsid w:val="459F465A"/>
    <w:rsid w:val="46432FE7"/>
    <w:rsid w:val="4693423A"/>
    <w:rsid w:val="4701694A"/>
    <w:rsid w:val="47072496"/>
    <w:rsid w:val="471A7B91"/>
    <w:rsid w:val="47275B26"/>
    <w:rsid w:val="47A47339"/>
    <w:rsid w:val="47B36DD3"/>
    <w:rsid w:val="47CC6C42"/>
    <w:rsid w:val="47D5208C"/>
    <w:rsid w:val="48C63DF7"/>
    <w:rsid w:val="48C77CED"/>
    <w:rsid w:val="494E3DC0"/>
    <w:rsid w:val="49783169"/>
    <w:rsid w:val="49823E03"/>
    <w:rsid w:val="4B3833FC"/>
    <w:rsid w:val="4B766B51"/>
    <w:rsid w:val="4B7D45F6"/>
    <w:rsid w:val="4B86360A"/>
    <w:rsid w:val="4C1134F9"/>
    <w:rsid w:val="4D6250F1"/>
    <w:rsid w:val="4DA17EF1"/>
    <w:rsid w:val="4E2646EA"/>
    <w:rsid w:val="4E4F060B"/>
    <w:rsid w:val="4EBC6B68"/>
    <w:rsid w:val="4F71072F"/>
    <w:rsid w:val="4FAD5B31"/>
    <w:rsid w:val="4FF614FC"/>
    <w:rsid w:val="50473316"/>
    <w:rsid w:val="513D08B7"/>
    <w:rsid w:val="514903C3"/>
    <w:rsid w:val="5191417F"/>
    <w:rsid w:val="51DC14C4"/>
    <w:rsid w:val="51ED116C"/>
    <w:rsid w:val="523A7C7F"/>
    <w:rsid w:val="52B6455F"/>
    <w:rsid w:val="52DD19BB"/>
    <w:rsid w:val="531829B6"/>
    <w:rsid w:val="531942AD"/>
    <w:rsid w:val="53E072D6"/>
    <w:rsid w:val="545123F3"/>
    <w:rsid w:val="549C38C8"/>
    <w:rsid w:val="54EC4684"/>
    <w:rsid w:val="551303A1"/>
    <w:rsid w:val="56362637"/>
    <w:rsid w:val="56D0377C"/>
    <w:rsid w:val="56EA0AB1"/>
    <w:rsid w:val="574122DC"/>
    <w:rsid w:val="574920FE"/>
    <w:rsid w:val="575D3263"/>
    <w:rsid w:val="576D087E"/>
    <w:rsid w:val="57835EA0"/>
    <w:rsid w:val="57C00B06"/>
    <w:rsid w:val="58335A5D"/>
    <w:rsid w:val="596C02F9"/>
    <w:rsid w:val="59BC4ED0"/>
    <w:rsid w:val="59CD1728"/>
    <w:rsid w:val="59E5080C"/>
    <w:rsid w:val="59EF1AD9"/>
    <w:rsid w:val="5A8D3A63"/>
    <w:rsid w:val="5A8F1875"/>
    <w:rsid w:val="5A9D3EE7"/>
    <w:rsid w:val="5AEC74F8"/>
    <w:rsid w:val="5B7079CB"/>
    <w:rsid w:val="5BD762C4"/>
    <w:rsid w:val="5C7143C6"/>
    <w:rsid w:val="5CC8203E"/>
    <w:rsid w:val="5CED4F6D"/>
    <w:rsid w:val="5CF862C6"/>
    <w:rsid w:val="5D1464A5"/>
    <w:rsid w:val="5D5C1E8F"/>
    <w:rsid w:val="5D5E4DB7"/>
    <w:rsid w:val="5DF77DE0"/>
    <w:rsid w:val="5E1955EB"/>
    <w:rsid w:val="5E4A6AD5"/>
    <w:rsid w:val="5E7023B2"/>
    <w:rsid w:val="5F0F7504"/>
    <w:rsid w:val="5FC553F9"/>
    <w:rsid w:val="604C0A79"/>
    <w:rsid w:val="60A93A22"/>
    <w:rsid w:val="60C3026A"/>
    <w:rsid w:val="617B2260"/>
    <w:rsid w:val="629F20B6"/>
    <w:rsid w:val="62A10176"/>
    <w:rsid w:val="63097D09"/>
    <w:rsid w:val="639221EC"/>
    <w:rsid w:val="640139DD"/>
    <w:rsid w:val="64205924"/>
    <w:rsid w:val="646B048F"/>
    <w:rsid w:val="64B516AE"/>
    <w:rsid w:val="650F107A"/>
    <w:rsid w:val="65803F95"/>
    <w:rsid w:val="65B91104"/>
    <w:rsid w:val="660C196D"/>
    <w:rsid w:val="6669436A"/>
    <w:rsid w:val="666D3FDB"/>
    <w:rsid w:val="66CE5C6A"/>
    <w:rsid w:val="66FB3B9A"/>
    <w:rsid w:val="676A48B2"/>
    <w:rsid w:val="67A06F8C"/>
    <w:rsid w:val="67B54588"/>
    <w:rsid w:val="67DD6DAE"/>
    <w:rsid w:val="680F3235"/>
    <w:rsid w:val="689D062F"/>
    <w:rsid w:val="69605A02"/>
    <w:rsid w:val="69862E6A"/>
    <w:rsid w:val="69A17C70"/>
    <w:rsid w:val="69CD0BDF"/>
    <w:rsid w:val="69E87B42"/>
    <w:rsid w:val="69EC32FE"/>
    <w:rsid w:val="69FA2796"/>
    <w:rsid w:val="6B084C79"/>
    <w:rsid w:val="6B576F9B"/>
    <w:rsid w:val="6B664DBA"/>
    <w:rsid w:val="6B713E38"/>
    <w:rsid w:val="6B771136"/>
    <w:rsid w:val="6B9F6E13"/>
    <w:rsid w:val="6BB87C7D"/>
    <w:rsid w:val="6BE50B5D"/>
    <w:rsid w:val="6C2548E3"/>
    <w:rsid w:val="6CEB7969"/>
    <w:rsid w:val="6CEE7C83"/>
    <w:rsid w:val="6DA4006D"/>
    <w:rsid w:val="6DB25003"/>
    <w:rsid w:val="6DDB620D"/>
    <w:rsid w:val="6FA50228"/>
    <w:rsid w:val="6FC24370"/>
    <w:rsid w:val="6FDB386D"/>
    <w:rsid w:val="711E0693"/>
    <w:rsid w:val="721247B4"/>
    <w:rsid w:val="729D729D"/>
    <w:rsid w:val="72D958AB"/>
    <w:rsid w:val="732619F9"/>
    <w:rsid w:val="735B2D57"/>
    <w:rsid w:val="73F904AD"/>
    <w:rsid w:val="74346EAC"/>
    <w:rsid w:val="74516EE2"/>
    <w:rsid w:val="74D63C4F"/>
    <w:rsid w:val="75E83B00"/>
    <w:rsid w:val="76616E61"/>
    <w:rsid w:val="76A03DCF"/>
    <w:rsid w:val="77A33DD6"/>
    <w:rsid w:val="77E2122B"/>
    <w:rsid w:val="788C4C80"/>
    <w:rsid w:val="78A13E89"/>
    <w:rsid w:val="78AA1F4B"/>
    <w:rsid w:val="78D31F49"/>
    <w:rsid w:val="791259C0"/>
    <w:rsid w:val="796A1C3B"/>
    <w:rsid w:val="79F65D09"/>
    <w:rsid w:val="7A4660BA"/>
    <w:rsid w:val="7AC91CFF"/>
    <w:rsid w:val="7B110E84"/>
    <w:rsid w:val="7B2A4C01"/>
    <w:rsid w:val="7B3332AA"/>
    <w:rsid w:val="7B3A3F28"/>
    <w:rsid w:val="7BC1546B"/>
    <w:rsid w:val="7BFF1929"/>
    <w:rsid w:val="7BFF6BFE"/>
    <w:rsid w:val="7C03215E"/>
    <w:rsid w:val="7C0323A6"/>
    <w:rsid w:val="7C290923"/>
    <w:rsid w:val="7D314634"/>
    <w:rsid w:val="7E176AFE"/>
    <w:rsid w:val="7E80646A"/>
    <w:rsid w:val="7F2A369C"/>
    <w:rsid w:val="7F4E2B7E"/>
    <w:rsid w:val="7FA95A0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basedOn w:val="1"/>
    <w:next w:val="1"/>
    <w:link w:val="25"/>
    <w:qFormat/>
    <w:uiPriority w:val="0"/>
    <w:pPr>
      <w:keepNext/>
      <w:keepLines/>
      <w:numPr>
        <w:ilvl w:val="0"/>
        <w:numId w:val="1"/>
      </w:numPr>
      <w:pBdr>
        <w:top w:val="single" w:color="auto" w:sz="12" w:space="3"/>
      </w:pBdr>
      <w:spacing w:before="240" w:after="180"/>
      <w:outlineLvl w:val="0"/>
    </w:pPr>
    <w:rPr>
      <w:rFonts w:cs="Arial"/>
      <w:sz w:val="36"/>
      <w:szCs w:val="36"/>
    </w:rPr>
  </w:style>
  <w:style w:type="paragraph" w:styleId="3">
    <w:name w:val="heading 2"/>
    <w:basedOn w:val="2"/>
    <w:next w:val="1"/>
    <w:link w:val="26"/>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7"/>
    <w:qFormat/>
    <w:uiPriority w:val="0"/>
    <w:pPr>
      <w:numPr>
        <w:ilvl w:val="2"/>
      </w:numPr>
      <w:spacing w:before="120"/>
      <w:outlineLvl w:val="2"/>
    </w:pPr>
    <w:rPr>
      <w:sz w:val="28"/>
      <w:szCs w:val="28"/>
    </w:rPr>
  </w:style>
  <w:style w:type="paragraph" w:styleId="5">
    <w:name w:val="heading 4"/>
    <w:basedOn w:val="4"/>
    <w:next w:val="1"/>
    <w:link w:val="28"/>
    <w:qFormat/>
    <w:uiPriority w:val="0"/>
    <w:pPr>
      <w:numPr>
        <w:ilvl w:val="3"/>
      </w:numPr>
      <w:outlineLvl w:val="3"/>
    </w:pPr>
    <w:rPr>
      <w:sz w:val="24"/>
      <w:szCs w:val="24"/>
    </w:rPr>
  </w:style>
  <w:style w:type="paragraph" w:styleId="6">
    <w:name w:val="heading 5"/>
    <w:basedOn w:val="5"/>
    <w:next w:val="1"/>
    <w:link w:val="29"/>
    <w:qFormat/>
    <w:uiPriority w:val="0"/>
    <w:pPr>
      <w:numPr>
        <w:ilvl w:val="4"/>
      </w:numPr>
      <w:outlineLvl w:val="4"/>
    </w:pPr>
    <w:rPr>
      <w:sz w:val="22"/>
      <w:szCs w:val="22"/>
    </w:rPr>
  </w:style>
  <w:style w:type="paragraph" w:styleId="7">
    <w:name w:val="heading 6"/>
    <w:basedOn w:val="1"/>
    <w:next w:val="1"/>
    <w:link w:val="30"/>
    <w:qFormat/>
    <w:uiPriority w:val="0"/>
    <w:pPr>
      <w:keepNext/>
      <w:keepLines/>
      <w:numPr>
        <w:ilvl w:val="5"/>
        <w:numId w:val="1"/>
      </w:numPr>
      <w:spacing w:before="120"/>
      <w:outlineLvl w:val="5"/>
    </w:pPr>
    <w:rPr>
      <w:rFonts w:cs="Arial"/>
    </w:rPr>
  </w:style>
  <w:style w:type="paragraph" w:styleId="8">
    <w:name w:val="heading 7"/>
    <w:basedOn w:val="1"/>
    <w:next w:val="1"/>
    <w:link w:val="31"/>
    <w:qFormat/>
    <w:uiPriority w:val="0"/>
    <w:pPr>
      <w:keepNext/>
      <w:keepLines/>
      <w:numPr>
        <w:ilvl w:val="6"/>
        <w:numId w:val="1"/>
      </w:numPr>
      <w:spacing w:before="120"/>
      <w:outlineLvl w:val="6"/>
    </w:pPr>
    <w:rPr>
      <w:rFonts w:cs="Arial"/>
    </w:rPr>
  </w:style>
  <w:style w:type="paragraph" w:styleId="9">
    <w:name w:val="heading 8"/>
    <w:basedOn w:val="8"/>
    <w:next w:val="1"/>
    <w:link w:val="32"/>
    <w:qFormat/>
    <w:uiPriority w:val="0"/>
    <w:pPr>
      <w:numPr>
        <w:ilvl w:val="7"/>
      </w:numPr>
      <w:outlineLvl w:val="7"/>
    </w:pPr>
  </w:style>
  <w:style w:type="paragraph" w:styleId="10">
    <w:name w:val="heading 9"/>
    <w:basedOn w:val="9"/>
    <w:next w:val="1"/>
    <w:link w:val="33"/>
    <w:qFormat/>
    <w:uiPriority w:val="0"/>
    <w:pPr>
      <w:numPr>
        <w:ilvl w:val="8"/>
      </w:numPr>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next w:val="12"/>
    <w:link w:val="58"/>
    <w:qFormat/>
    <w:uiPriority w:val="0"/>
    <w:pPr>
      <w:spacing w:before="120" w:after="120"/>
      <w:ind w:left="2438" w:hanging="1134"/>
    </w:pPr>
    <w:rPr>
      <w:rFonts w:ascii="Arial" w:hAnsi="Arial" w:eastAsia="Times New Roman" w:cs="Times New Roman"/>
      <w:kern w:val="20"/>
      <w:lang w:val="en-US" w:eastAsia="en-US" w:bidi="ar-SA"/>
    </w:rPr>
  </w:style>
  <w:style w:type="paragraph" w:styleId="12">
    <w:name w:val="Body Text"/>
    <w:basedOn w:val="1"/>
    <w:link w:val="45"/>
    <w:semiHidden/>
    <w:unhideWhenUsed/>
    <w:qFormat/>
    <w:uiPriority w:val="99"/>
  </w:style>
  <w:style w:type="paragraph" w:styleId="13">
    <w:name w:val="annotation text"/>
    <w:basedOn w:val="1"/>
    <w:link w:val="36"/>
    <w:qFormat/>
    <w:uiPriority w:val="0"/>
  </w:style>
  <w:style w:type="paragraph" w:styleId="14">
    <w:name w:val="Balloon Text"/>
    <w:basedOn w:val="1"/>
    <w:link w:val="46"/>
    <w:semiHidden/>
    <w:unhideWhenUsed/>
    <w:qFormat/>
    <w:uiPriority w:val="99"/>
    <w:pPr>
      <w:spacing w:after="0"/>
    </w:pPr>
    <w:rPr>
      <w:rFonts w:ascii="Segoe UI" w:hAnsi="Segoe UI" w:cs="Segoe UI"/>
      <w:sz w:val="18"/>
      <w:szCs w:val="18"/>
    </w:rPr>
  </w:style>
  <w:style w:type="paragraph" w:styleId="15">
    <w:name w:val="footer"/>
    <w:basedOn w:val="16"/>
    <w:link w:val="35"/>
    <w:qFormat/>
    <w:uiPriority w:val="99"/>
    <w:pPr>
      <w:widowControl w:val="0"/>
      <w:tabs>
        <w:tab w:val="center" w:pos="4513"/>
        <w:tab w:val="right" w:pos="9026"/>
      </w:tabs>
      <w:jc w:val="center"/>
    </w:pPr>
    <w:rPr>
      <w:rFonts w:cs="Arial"/>
      <w:b/>
      <w:bCs/>
      <w:i/>
      <w:iCs/>
      <w:sz w:val="18"/>
      <w:szCs w:val="18"/>
      <w:lang w:val="en-US"/>
    </w:rPr>
  </w:style>
  <w:style w:type="paragraph" w:styleId="16">
    <w:name w:val="header"/>
    <w:basedOn w:val="1"/>
    <w:link w:val="44"/>
    <w:unhideWhenUsed/>
    <w:qFormat/>
    <w:uiPriority w:val="99"/>
    <w:pPr>
      <w:tabs>
        <w:tab w:val="center" w:pos="4513"/>
        <w:tab w:val="right" w:pos="9026"/>
      </w:tabs>
      <w:spacing w:after="0"/>
    </w:pPr>
  </w:style>
  <w:style w:type="paragraph" w:styleId="17">
    <w:name w:val="List"/>
    <w:basedOn w:val="1"/>
    <w:semiHidden/>
    <w:unhideWhenUsed/>
    <w:qFormat/>
    <w:uiPriority w:val="99"/>
    <w:pPr>
      <w:ind w:left="283" w:hanging="283"/>
      <w:contextualSpacing/>
    </w:pPr>
  </w:style>
  <w:style w:type="paragraph" w:styleId="18">
    <w:name w:val="annotation subject"/>
    <w:basedOn w:val="13"/>
    <w:next w:val="13"/>
    <w:link w:val="47"/>
    <w:semiHidden/>
    <w:unhideWhenUsed/>
    <w:qFormat/>
    <w:uiPriority w:val="99"/>
    <w:rPr>
      <w:b/>
      <w:bCs/>
    </w:rPr>
  </w:style>
  <w:style w:type="table" w:styleId="20">
    <w:name w:val="Table Grid"/>
    <w:basedOn w:val="1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semiHidden/>
    <w:qFormat/>
    <w:uiPriority w:val="0"/>
  </w:style>
  <w:style w:type="character" w:styleId="23">
    <w:name w:val="Hyperlink"/>
    <w:qFormat/>
    <w:uiPriority w:val="99"/>
    <w:rPr>
      <w:color w:val="0000FF"/>
      <w:u w:val="single"/>
      <w:lang w:val="en-GB"/>
    </w:rPr>
  </w:style>
  <w:style w:type="character" w:styleId="24">
    <w:name w:val="annotation reference"/>
    <w:qFormat/>
    <w:uiPriority w:val="0"/>
    <w:rPr>
      <w:sz w:val="16"/>
      <w:szCs w:val="16"/>
    </w:rPr>
  </w:style>
  <w:style w:type="character" w:customStyle="1" w:styleId="25">
    <w:name w:val="标题 1 字符"/>
    <w:basedOn w:val="21"/>
    <w:link w:val="2"/>
    <w:qFormat/>
    <w:uiPriority w:val="0"/>
    <w:rPr>
      <w:rFonts w:ascii="Arial" w:hAnsi="Arial" w:eastAsia="Times New Roman" w:cs="Arial"/>
      <w:sz w:val="36"/>
      <w:szCs w:val="36"/>
      <w:lang w:val="en-GB" w:eastAsia="zh-CN"/>
    </w:rPr>
  </w:style>
  <w:style w:type="character" w:customStyle="1" w:styleId="26">
    <w:name w:val="标题 2 字符"/>
    <w:basedOn w:val="21"/>
    <w:link w:val="3"/>
    <w:qFormat/>
    <w:uiPriority w:val="0"/>
    <w:rPr>
      <w:rFonts w:ascii="Arial" w:hAnsi="Arial" w:eastAsia="Times New Roman" w:cs="Arial"/>
      <w:sz w:val="32"/>
      <w:szCs w:val="32"/>
      <w:lang w:val="en-GB" w:eastAsia="zh-CN"/>
    </w:rPr>
  </w:style>
  <w:style w:type="character" w:customStyle="1" w:styleId="27">
    <w:name w:val="标题 3 字符"/>
    <w:basedOn w:val="21"/>
    <w:link w:val="4"/>
    <w:qFormat/>
    <w:uiPriority w:val="0"/>
    <w:rPr>
      <w:rFonts w:ascii="Arial" w:hAnsi="Arial" w:eastAsia="Times New Roman" w:cs="Arial"/>
      <w:sz w:val="28"/>
      <w:szCs w:val="28"/>
      <w:lang w:val="en-GB" w:eastAsia="zh-CN"/>
    </w:rPr>
  </w:style>
  <w:style w:type="character" w:customStyle="1" w:styleId="28">
    <w:name w:val="标题 4 字符"/>
    <w:basedOn w:val="21"/>
    <w:link w:val="5"/>
    <w:qFormat/>
    <w:uiPriority w:val="0"/>
    <w:rPr>
      <w:rFonts w:ascii="Arial" w:hAnsi="Arial" w:eastAsia="Times New Roman" w:cs="Arial"/>
      <w:sz w:val="24"/>
      <w:szCs w:val="24"/>
      <w:lang w:val="en-GB" w:eastAsia="zh-CN"/>
    </w:rPr>
  </w:style>
  <w:style w:type="character" w:customStyle="1" w:styleId="29">
    <w:name w:val="标题 5 字符"/>
    <w:basedOn w:val="21"/>
    <w:link w:val="6"/>
    <w:qFormat/>
    <w:uiPriority w:val="0"/>
    <w:rPr>
      <w:rFonts w:ascii="Arial" w:hAnsi="Arial" w:eastAsia="Times New Roman" w:cs="Arial"/>
      <w:lang w:val="en-GB" w:eastAsia="zh-CN"/>
    </w:rPr>
  </w:style>
  <w:style w:type="character" w:customStyle="1" w:styleId="30">
    <w:name w:val="标题 6 字符"/>
    <w:basedOn w:val="21"/>
    <w:link w:val="7"/>
    <w:qFormat/>
    <w:uiPriority w:val="0"/>
    <w:rPr>
      <w:rFonts w:ascii="Arial" w:hAnsi="Arial" w:eastAsia="Times New Roman" w:cs="Arial"/>
      <w:sz w:val="20"/>
      <w:szCs w:val="20"/>
      <w:lang w:val="en-GB" w:eastAsia="zh-CN"/>
    </w:rPr>
  </w:style>
  <w:style w:type="character" w:customStyle="1" w:styleId="31">
    <w:name w:val="标题 7 字符"/>
    <w:basedOn w:val="21"/>
    <w:link w:val="8"/>
    <w:qFormat/>
    <w:uiPriority w:val="0"/>
    <w:rPr>
      <w:rFonts w:ascii="Arial" w:hAnsi="Arial" w:eastAsia="Times New Roman" w:cs="Arial"/>
      <w:sz w:val="20"/>
      <w:szCs w:val="20"/>
      <w:lang w:val="en-GB" w:eastAsia="zh-CN"/>
    </w:rPr>
  </w:style>
  <w:style w:type="character" w:customStyle="1" w:styleId="32">
    <w:name w:val="标题 8 字符"/>
    <w:basedOn w:val="21"/>
    <w:link w:val="9"/>
    <w:qFormat/>
    <w:uiPriority w:val="0"/>
    <w:rPr>
      <w:rFonts w:ascii="Arial" w:hAnsi="Arial" w:eastAsia="Times New Roman" w:cs="Arial"/>
      <w:sz w:val="20"/>
      <w:szCs w:val="20"/>
      <w:lang w:val="en-GB" w:eastAsia="zh-CN"/>
    </w:rPr>
  </w:style>
  <w:style w:type="character" w:customStyle="1" w:styleId="33">
    <w:name w:val="标题 9 字符"/>
    <w:basedOn w:val="21"/>
    <w:link w:val="10"/>
    <w:qFormat/>
    <w:uiPriority w:val="0"/>
    <w:rPr>
      <w:rFonts w:ascii="Arial" w:hAnsi="Arial" w:eastAsia="Times New Roman" w:cs="Arial"/>
      <w:sz w:val="20"/>
      <w:szCs w:val="20"/>
      <w:lang w:val="en-GB" w:eastAsia="zh-CN"/>
    </w:rPr>
  </w:style>
  <w:style w:type="paragraph" w:customStyle="1" w:styleId="34">
    <w:name w:val="3GPP_Header"/>
    <w:basedOn w:val="1"/>
    <w:qFormat/>
    <w:uiPriority w:val="0"/>
    <w:pPr>
      <w:tabs>
        <w:tab w:val="left" w:pos="1701"/>
        <w:tab w:val="right" w:pos="9639"/>
      </w:tabs>
      <w:spacing w:after="240"/>
    </w:pPr>
    <w:rPr>
      <w:b/>
      <w:sz w:val="24"/>
    </w:rPr>
  </w:style>
  <w:style w:type="character" w:customStyle="1" w:styleId="35">
    <w:name w:val="页脚 字符"/>
    <w:basedOn w:val="21"/>
    <w:link w:val="15"/>
    <w:qFormat/>
    <w:uiPriority w:val="99"/>
    <w:rPr>
      <w:rFonts w:ascii="Arial" w:hAnsi="Arial" w:eastAsia="Times New Roman" w:cs="Arial"/>
      <w:b/>
      <w:bCs/>
      <w:i/>
      <w:iCs/>
      <w:sz w:val="18"/>
      <w:szCs w:val="18"/>
      <w:lang w:val="en-US" w:eastAsia="zh-CN"/>
    </w:rPr>
  </w:style>
  <w:style w:type="character" w:customStyle="1" w:styleId="36">
    <w:name w:val="批注文字 字符"/>
    <w:basedOn w:val="21"/>
    <w:link w:val="13"/>
    <w:qFormat/>
    <w:uiPriority w:val="0"/>
    <w:rPr>
      <w:rFonts w:ascii="Arial" w:hAnsi="Arial" w:eastAsia="Times New Roman" w:cs="Times New Roman"/>
      <w:sz w:val="20"/>
      <w:szCs w:val="20"/>
      <w:lang w:val="en-GB" w:eastAsia="zh-CN"/>
    </w:rPr>
  </w:style>
  <w:style w:type="paragraph" w:customStyle="1" w:styleId="37">
    <w:name w:val="B1"/>
    <w:basedOn w:val="17"/>
    <w:link w:val="39"/>
    <w:qFormat/>
    <w:uiPriority w:val="0"/>
    <w:pPr>
      <w:spacing w:after="180"/>
      <w:ind w:left="568" w:hanging="284"/>
      <w:contextualSpacing w:val="0"/>
      <w:jc w:val="left"/>
    </w:pPr>
    <w:rPr>
      <w:lang w:eastAsia="en-US"/>
    </w:rPr>
  </w:style>
  <w:style w:type="paragraph" w:styleId="38">
    <w:name w:val="List Paragraph"/>
    <w:basedOn w:val="1"/>
    <w:link w:val="49"/>
    <w:qFormat/>
    <w:uiPriority w:val="34"/>
    <w:pPr>
      <w:ind w:left="720"/>
      <w:contextualSpacing/>
    </w:pPr>
  </w:style>
  <w:style w:type="character" w:customStyle="1" w:styleId="39">
    <w:name w:val="B1 Char1"/>
    <w:link w:val="37"/>
    <w:qFormat/>
    <w:uiPriority w:val="0"/>
    <w:rPr>
      <w:rFonts w:ascii="Arial" w:hAnsi="Arial" w:eastAsia="Times New Roman" w:cs="Times New Roman"/>
      <w:sz w:val="20"/>
      <w:szCs w:val="20"/>
      <w:lang w:val="en-GB"/>
    </w:rPr>
  </w:style>
  <w:style w:type="paragraph" w:customStyle="1" w:styleId="40">
    <w:name w:val="IvD Instructiontext"/>
    <w:basedOn w:val="12"/>
    <w:link w:val="41"/>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1">
    <w:name w:val="IvD Instructiontext Char"/>
    <w:link w:val="40"/>
    <w:qFormat/>
    <w:uiPriority w:val="99"/>
    <w:rPr>
      <w:rFonts w:ascii="Arial" w:hAnsi="Arial" w:eastAsia="Times New Roman" w:cs="Times New Roman"/>
      <w:i/>
      <w:color w:val="7F7F7F"/>
      <w:spacing w:val="2"/>
      <w:sz w:val="18"/>
      <w:szCs w:val="18"/>
      <w:lang w:val="en-US"/>
    </w:rPr>
  </w:style>
  <w:style w:type="paragraph" w:customStyle="1" w:styleId="42">
    <w:name w:val="IvD bodytext"/>
    <w:basedOn w:val="12"/>
    <w:link w:val="4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3">
    <w:name w:val="IvD bodytext Char"/>
    <w:link w:val="42"/>
    <w:qFormat/>
    <w:uiPriority w:val="0"/>
    <w:rPr>
      <w:rFonts w:ascii="Arial" w:hAnsi="Arial" w:eastAsia="Times New Roman" w:cs="Times New Roman"/>
      <w:spacing w:val="2"/>
      <w:sz w:val="20"/>
      <w:szCs w:val="20"/>
      <w:lang w:val="en-US"/>
    </w:rPr>
  </w:style>
  <w:style w:type="character" w:customStyle="1" w:styleId="44">
    <w:name w:val="页眉 字符"/>
    <w:basedOn w:val="21"/>
    <w:link w:val="16"/>
    <w:qFormat/>
    <w:uiPriority w:val="99"/>
    <w:rPr>
      <w:rFonts w:ascii="Arial" w:hAnsi="Arial" w:eastAsia="Times New Roman" w:cs="Times New Roman"/>
      <w:sz w:val="20"/>
      <w:szCs w:val="20"/>
      <w:lang w:val="en-GB" w:eastAsia="zh-CN"/>
    </w:rPr>
  </w:style>
  <w:style w:type="character" w:customStyle="1" w:styleId="45">
    <w:name w:val="正文文本 字符"/>
    <w:basedOn w:val="21"/>
    <w:link w:val="12"/>
    <w:semiHidden/>
    <w:qFormat/>
    <w:uiPriority w:val="99"/>
    <w:rPr>
      <w:rFonts w:ascii="Arial" w:hAnsi="Arial" w:eastAsia="Times New Roman" w:cs="Times New Roman"/>
      <w:sz w:val="20"/>
      <w:szCs w:val="20"/>
      <w:lang w:val="en-GB" w:eastAsia="zh-CN"/>
    </w:rPr>
  </w:style>
  <w:style w:type="character" w:customStyle="1" w:styleId="46">
    <w:name w:val="批注框文本 字符"/>
    <w:basedOn w:val="21"/>
    <w:link w:val="14"/>
    <w:semiHidden/>
    <w:qFormat/>
    <w:uiPriority w:val="99"/>
    <w:rPr>
      <w:rFonts w:ascii="Segoe UI" w:hAnsi="Segoe UI" w:eastAsia="Times New Roman" w:cs="Segoe UI"/>
      <w:sz w:val="18"/>
      <w:szCs w:val="18"/>
      <w:lang w:val="en-GB" w:eastAsia="zh-CN"/>
    </w:rPr>
  </w:style>
  <w:style w:type="character" w:customStyle="1" w:styleId="47">
    <w:name w:val="批注主题 字符"/>
    <w:basedOn w:val="36"/>
    <w:link w:val="18"/>
    <w:semiHidden/>
    <w:qFormat/>
    <w:uiPriority w:val="99"/>
    <w:rPr>
      <w:rFonts w:ascii="Arial" w:hAnsi="Arial" w:eastAsia="Times New Roman" w:cs="Times New Roman"/>
      <w:b/>
      <w:bCs/>
      <w:sz w:val="20"/>
      <w:szCs w:val="20"/>
      <w:lang w:val="en-GB" w:eastAsia="zh-CN"/>
    </w:rPr>
  </w:style>
  <w:style w:type="character" w:customStyle="1" w:styleId="48">
    <w:name w:val="B1 Char"/>
    <w:qFormat/>
    <w:locked/>
    <w:uiPriority w:val="0"/>
    <w:rPr>
      <w:lang w:val="en-GB" w:eastAsia="zh-CN"/>
    </w:rPr>
  </w:style>
  <w:style w:type="character" w:customStyle="1" w:styleId="49">
    <w:name w:val="列表段落 字符"/>
    <w:link w:val="38"/>
    <w:qFormat/>
    <w:locked/>
    <w:uiPriority w:val="34"/>
    <w:rPr>
      <w:rFonts w:ascii="Arial" w:hAnsi="Arial" w:eastAsia="Times New Roman" w:cs="Times New Roman"/>
      <w:sz w:val="20"/>
      <w:szCs w:val="20"/>
      <w:lang w:val="en-GB" w:eastAsia="zh-CN"/>
    </w:rPr>
  </w:style>
  <w:style w:type="paragraph" w:customStyle="1" w:styleId="50">
    <w:name w:val="CR Cover Page"/>
    <w:link w:val="51"/>
    <w:qFormat/>
    <w:uiPriority w:val="0"/>
    <w:pPr>
      <w:spacing w:after="120"/>
    </w:pPr>
    <w:rPr>
      <w:rFonts w:ascii="Arial" w:hAnsi="Arial" w:cs="Times New Roman" w:eastAsiaTheme="minorEastAsia"/>
      <w:lang w:val="en-GB" w:eastAsia="en-US" w:bidi="ar-SA"/>
    </w:rPr>
  </w:style>
  <w:style w:type="character" w:customStyle="1" w:styleId="51">
    <w:name w:val="CR Cover Page Zchn"/>
    <w:link w:val="50"/>
    <w:qFormat/>
    <w:locked/>
    <w:uiPriority w:val="0"/>
    <w:rPr>
      <w:rFonts w:ascii="Arial" w:hAnsi="Arial" w:cs="Times New Roman" w:eastAsiaTheme="minorEastAsia"/>
      <w:sz w:val="20"/>
      <w:szCs w:val="20"/>
      <w:lang w:val="en-GB"/>
    </w:rPr>
  </w:style>
  <w:style w:type="character" w:customStyle="1" w:styleId="52">
    <w:name w:val="PL Char"/>
    <w:link w:val="53"/>
    <w:qFormat/>
    <w:uiPriority w:val="0"/>
    <w:rPr>
      <w:rFonts w:ascii="Courier New" w:hAnsi="Courier New"/>
      <w:sz w:val="16"/>
      <w:lang w:val="en-GB"/>
    </w:rPr>
  </w:style>
  <w:style w:type="paragraph" w:customStyle="1" w:styleId="53">
    <w:name w:val="PL"/>
    <w:link w:val="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heme="minorBidi"/>
      <w:sz w:val="16"/>
      <w:szCs w:val="22"/>
      <w:lang w:val="en-GB" w:eastAsia="en-US" w:bidi="ar-SA"/>
    </w:rPr>
  </w:style>
  <w:style w:type="paragraph" w:customStyle="1" w:styleId="54">
    <w:name w:val="TAL"/>
    <w:basedOn w:val="1"/>
    <w:link w:val="55"/>
    <w:qFormat/>
    <w:uiPriority w:val="0"/>
    <w:pPr>
      <w:keepNext/>
      <w:keepLines/>
      <w:spacing w:after="0"/>
      <w:jc w:val="left"/>
    </w:pPr>
    <w:rPr>
      <w:sz w:val="18"/>
      <w:lang w:val="zh-CN"/>
    </w:rPr>
  </w:style>
  <w:style w:type="character" w:customStyle="1" w:styleId="55">
    <w:name w:val="TAL Car"/>
    <w:link w:val="54"/>
    <w:qFormat/>
    <w:uiPriority w:val="0"/>
    <w:rPr>
      <w:rFonts w:ascii="Arial" w:hAnsi="Arial" w:eastAsia="Times New Roman" w:cs="Times New Roman"/>
      <w:sz w:val="18"/>
      <w:szCs w:val="20"/>
      <w:lang w:val="zh-CN" w:eastAsia="zh-CN"/>
    </w:rPr>
  </w:style>
  <w:style w:type="paragraph" w:customStyle="1" w:styleId="56">
    <w:name w:val="TAH"/>
    <w:basedOn w:val="1"/>
    <w:link w:val="57"/>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57">
    <w:name w:val="TAH Car"/>
    <w:link w:val="56"/>
    <w:qFormat/>
    <w:locked/>
    <w:uiPriority w:val="0"/>
    <w:rPr>
      <w:b/>
      <w:sz w:val="18"/>
      <w:lang w:val="en-US"/>
    </w:rPr>
  </w:style>
  <w:style w:type="character" w:customStyle="1" w:styleId="58">
    <w:name w:val="题注 字符"/>
    <w:basedOn w:val="21"/>
    <w:link w:val="11"/>
    <w:qFormat/>
    <w:uiPriority w:val="0"/>
    <w:rPr>
      <w:rFonts w:ascii="Arial" w:hAnsi="Arial" w:eastAsia="Times New Roman" w:cs="Times New Roman"/>
      <w:kern w:val="20"/>
      <w:sz w:val="20"/>
      <w:szCs w:val="20"/>
      <w:lang w:val="en-US"/>
    </w:rPr>
  </w:style>
  <w:style w:type="character" w:customStyle="1" w:styleId="59">
    <w:name w:val="TAL Char"/>
    <w:qFormat/>
    <w:uiPriority w:val="0"/>
    <w:rPr>
      <w:rFonts w:ascii="Arial" w:hAnsi="Arial"/>
      <w:sz w:val="18"/>
      <w:lang w:val="en-GB" w:eastAsia="en-US"/>
    </w:rPr>
  </w:style>
  <w:style w:type="character" w:customStyle="1" w:styleId="60">
    <w:name w:val="TAH Char"/>
    <w:qFormat/>
    <w:uiPriority w:val="0"/>
    <w:rPr>
      <w:rFonts w:ascii="Arial" w:hAnsi="Arial"/>
      <w:b/>
      <w:sz w:val="18"/>
      <w:lang w:val="en-GB" w:eastAsia="en-US"/>
    </w:rPr>
  </w:style>
  <w:style w:type="character" w:customStyle="1" w:styleId="61">
    <w:name w:val="WW8Num1z1"/>
    <w:qFormat/>
    <w:uiPriority w:val="0"/>
    <w:rPr>
      <w:rFonts w:hint="default" w:ascii="Courier New" w:hAnsi="Courier New" w:cs="Courier New"/>
    </w:rPr>
  </w:style>
  <w:style w:type="paragraph" w:customStyle="1" w:styleId="62">
    <w:name w:val="修订1"/>
    <w:hidden/>
    <w:semiHidden/>
    <w:qFormat/>
    <w:uiPriority w:val="99"/>
    <w:rPr>
      <w:rFonts w:ascii="Arial" w:hAnsi="Arial" w:eastAsia="Times New Roman" w:cs="Times New Roman"/>
      <w:lang w:val="en-GB" w:eastAsia="zh-CN" w:bidi="ar-SA"/>
    </w:rPr>
  </w:style>
  <w:style w:type="paragraph" w:customStyle="1" w:styleId="63">
    <w:name w:val="Reference"/>
    <w:basedOn w:val="12"/>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4">
    <w:name w:val="TAC"/>
    <w:basedOn w:val="54"/>
    <w:link w:val="65"/>
    <w:qFormat/>
    <w:uiPriority w:val="0"/>
    <w:pPr>
      <w:jc w:val="center"/>
    </w:pPr>
    <w:rPr>
      <w:lang w:val="en-GB" w:eastAsia="en-GB"/>
    </w:rPr>
  </w:style>
  <w:style w:type="character" w:customStyle="1" w:styleId="65">
    <w:name w:val="TAC Char"/>
    <w:basedOn w:val="59"/>
    <w:link w:val="64"/>
    <w:qFormat/>
    <w:locked/>
    <w:uiPriority w:val="0"/>
    <w:rPr>
      <w:rFonts w:ascii="Arial" w:hAnsi="Arial" w:eastAsia="Times New Roman" w:cs="Times New Roman"/>
      <w:sz w:val="18"/>
      <w:szCs w:val="20"/>
      <w:lang w:val="en-GB" w:eastAsia="en-GB"/>
    </w:rPr>
  </w:style>
  <w:style w:type="paragraph" w:customStyle="1" w:styleId="66">
    <w:name w:val="TF"/>
    <w:basedOn w:val="1"/>
    <w:link w:val="67"/>
    <w:qFormat/>
    <w:uiPriority w:val="0"/>
    <w:pPr>
      <w:keepLines/>
      <w:overflowPunct/>
      <w:autoSpaceDE/>
      <w:autoSpaceDN/>
      <w:adjustRightInd/>
      <w:spacing w:after="240"/>
      <w:jc w:val="center"/>
      <w:textAlignment w:val="auto"/>
    </w:pPr>
    <w:rPr>
      <w:rFonts w:eastAsia="宋体"/>
      <w:b/>
      <w:lang w:eastAsia="en-US"/>
    </w:rPr>
  </w:style>
  <w:style w:type="character" w:customStyle="1" w:styleId="67">
    <w:name w:val="TF Char"/>
    <w:link w:val="66"/>
    <w:qFormat/>
    <w:uiPriority w:val="0"/>
    <w:rPr>
      <w:rFonts w:ascii="Arial" w:hAnsi="Arial" w:eastAsia="宋体" w:cs="Times New Roman"/>
      <w:b/>
      <w:sz w:val="20"/>
      <w:szCs w:val="20"/>
      <w:lang w:val="en-GB"/>
    </w:rPr>
  </w:style>
  <w:style w:type="paragraph" w:customStyle="1" w:styleId="68">
    <w:name w:val="Proposal"/>
    <w:basedOn w:val="12"/>
    <w:qFormat/>
    <w:uiPriority w:val="0"/>
    <w:pPr>
      <w:numPr>
        <w:ilvl w:val="0"/>
        <w:numId w:val="3"/>
      </w:numPr>
      <w:tabs>
        <w:tab w:val="left" w:pos="1701"/>
      </w:tabs>
    </w:pPr>
    <w:rPr>
      <w:b/>
      <w:bCs/>
    </w:rPr>
  </w:style>
  <w:style w:type="paragraph" w:customStyle="1" w:styleId="69">
    <w:name w:val="Observation"/>
    <w:basedOn w:val="68"/>
    <w:qFormat/>
    <w:uiPriority w:val="0"/>
    <w:pPr>
      <w:numPr>
        <w:ilvl w:val="0"/>
        <w:numId w:val="4"/>
      </w:numPr>
    </w:pPr>
    <w:rPr>
      <w:lang w:eastAsia="ja-JP"/>
    </w:rPr>
  </w:style>
  <w:style w:type="paragraph" w:customStyle="1" w:styleId="70">
    <w:name w:val="Norml"/>
    <w:basedOn w:val="68"/>
    <w:qFormat/>
    <w:uiPriority w:val="0"/>
  </w:style>
  <w:style w:type="character" w:customStyle="1" w:styleId="71">
    <w:name w:val="未处理的提及1"/>
    <w:basedOn w:val="21"/>
    <w:unhideWhenUsed/>
    <w:qFormat/>
    <w:uiPriority w:val="99"/>
    <w:rPr>
      <w:color w:val="605E5C"/>
      <w:shd w:val="clear" w:color="auto" w:fill="E1DFDD"/>
    </w:rPr>
  </w:style>
  <w:style w:type="character" w:customStyle="1" w:styleId="72">
    <w:name w:val="@他1"/>
    <w:basedOn w:val="21"/>
    <w:unhideWhenUsed/>
    <w:qFormat/>
    <w:uiPriority w:val="99"/>
    <w:rPr>
      <w:color w:val="2B579A"/>
      <w:shd w:val="clear" w:color="auto" w:fill="E1DFDD"/>
    </w:rPr>
  </w:style>
  <w:style w:type="paragraph" w:customStyle="1" w:styleId="73">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 w:type="character" w:customStyle="1" w:styleId="74">
    <w:name w:val="首标题"/>
    <w:qFormat/>
    <w:uiPriority w:val="0"/>
    <w:rPr>
      <w:rFonts w:ascii="Arial" w:hAnsi="Arial" w:eastAsia="宋体"/>
      <w:sz w:val="24"/>
      <w:lang w:val="en-US" w:eastAsia="zh-CN" w:bidi="ar-SA"/>
    </w:rPr>
  </w:style>
  <w:style w:type="paragraph" w:customStyle="1" w:styleId="75">
    <w:name w:val="修订2"/>
    <w:hidden/>
    <w:semiHidden/>
    <w:qFormat/>
    <w:uiPriority w:val="99"/>
    <w:rPr>
      <w:rFonts w:ascii="Arial" w:hAnsi="Arial" w:eastAsia="Times New Roman" w:cs="Times New Roman"/>
      <w:lang w:val="en-GB" w:eastAsia="zh-CN" w:bidi="ar-SA"/>
    </w:rPr>
  </w:style>
  <w:style w:type="paragraph" w:customStyle="1" w:styleId="76">
    <w:name w:val="修订3"/>
    <w:hidden/>
    <w:semiHidden/>
    <w:qFormat/>
    <w:uiPriority w:val="99"/>
    <w:rPr>
      <w:rFonts w:ascii="Arial" w:hAnsi="Arial" w:eastAsia="Times New Roman" w:cs="Times New Roman"/>
      <w:lang w:val="en-GB" w:eastAsia="zh-CN" w:bidi="ar-SA"/>
    </w:rPr>
  </w:style>
  <w:style w:type="paragraph" w:customStyle="1" w:styleId="77">
    <w:name w:val="修订4"/>
    <w:hidden/>
    <w:semiHidden/>
    <w:qFormat/>
    <w:uiPriority w:val="99"/>
    <w:rPr>
      <w:rFonts w:ascii="Arial" w:hAnsi="Arial" w:eastAsia="Times New Roman" w:cs="Times New Roman"/>
      <w:lang w:val="en-GB" w:eastAsia="zh-CN" w:bidi="ar-SA"/>
    </w:rPr>
  </w:style>
  <w:style w:type="paragraph" w:customStyle="1" w:styleId="78">
    <w:name w:val="listparagraph3"/>
    <w:basedOn w:val="1"/>
    <w:semiHidden/>
    <w:qFormat/>
    <w:uiPriority w:val="0"/>
    <w:pPr>
      <w:spacing w:after="100" w:afterAutospacing="1"/>
    </w:pPr>
    <w:rPr>
      <w:rFonts w:ascii="Calibri" w:hAnsi="Calibri" w:eastAsia="宋体" w:cs="Calibri"/>
    </w:rPr>
  </w:style>
  <w:style w:type="character" w:customStyle="1" w:styleId="79">
    <w:name w:val="15"/>
    <w:qFormat/>
    <w:uiPriority w:val="0"/>
    <w:rPr>
      <w:rFonts w:hint="default" w:ascii="CG Times (WN)" w:hAnsi="CG Times (WN)"/>
      <w:color w:val="0000FF"/>
      <w:u w:val="single"/>
    </w:rPr>
  </w:style>
  <w:style w:type="paragraph" w:customStyle="1" w:styleId="80">
    <w:name w:val="Revision"/>
    <w:hidden/>
    <w:unhideWhenUsed/>
    <w:qFormat/>
    <w:uiPriority w:val="99"/>
    <w:rPr>
      <w:rFonts w:ascii="Arial" w:hAnsi="Arial" w:eastAsia="Times New Roman" w:cs="Times New Roman"/>
      <w:lang w:val="en-GB"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4EBDAD-F25C-4923-B5F8-0F15B0BFAADC}">
  <ds:schemaRefs/>
</ds:datastoreItem>
</file>

<file path=customXml/itemProps2.xml><?xml version="1.0" encoding="utf-8"?>
<ds:datastoreItem xmlns:ds="http://schemas.openxmlformats.org/officeDocument/2006/customXml" ds:itemID="{FB6DDB7C-9959-4AEC-AA49-498A6EC77218}">
  <ds:schemaRefs/>
</ds:datastoreItem>
</file>

<file path=customXml/itemProps3.xml><?xml version="1.0" encoding="utf-8"?>
<ds:datastoreItem xmlns:ds="http://schemas.openxmlformats.org/officeDocument/2006/customXml" ds:itemID="{AFD3527F-078C-46FF-917C-D402B9DBDD85}">
  <ds:schemaRefs/>
</ds:datastoreItem>
</file>

<file path=customXml/itemProps4.xml><?xml version="1.0" encoding="utf-8"?>
<ds:datastoreItem xmlns:ds="http://schemas.openxmlformats.org/officeDocument/2006/customXml" ds:itemID="{AB067330-89E3-4362-9022-7EE22BBAB73C}">
  <ds:schemaRefs/>
</ds:datastoreItem>
</file>

<file path=customXml/itemProps5.xml><?xml version="1.0" encoding="utf-8"?>
<ds:datastoreItem xmlns:ds="http://schemas.openxmlformats.org/officeDocument/2006/customXml" ds:itemID="{DE493EDE-3679-4263-A95C-CB3FBE678763}">
  <ds:schemaRefs/>
</ds:datastoreItem>
</file>

<file path=customXml/itemProps6.xml><?xml version="1.0" encoding="utf-8"?>
<ds:datastoreItem xmlns:ds="http://schemas.openxmlformats.org/officeDocument/2006/customXml" ds:itemID="{7957D943-A877-475D-BA92-1F9DEC590F82}">
  <ds:schemaRefs/>
</ds:datastoreItem>
</file>

<file path=docProps/app.xml><?xml version="1.0" encoding="utf-8"?>
<Properties xmlns="http://schemas.openxmlformats.org/officeDocument/2006/extended-properties" xmlns:vt="http://schemas.openxmlformats.org/officeDocument/2006/docPropsVTypes">
  <Template>Normal</Template>
  <Pages>3</Pages>
  <Words>1074</Words>
  <Characters>6123</Characters>
  <Lines>51</Lines>
  <Paragraphs>14</Paragraphs>
  <TotalTime>0</TotalTime>
  <ScaleCrop>false</ScaleCrop>
  <LinksUpToDate>false</LinksUpToDate>
  <CharactersWithSpaces>7183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2023-02-17T02:30:00Z</dcterms:created>
  <dc:creator>Ericsson User</dc:creator>
  <cp:lastModifiedBy>李培</cp:lastModifiedBy>
  <dcterms:modified xsi:type="dcterms:W3CDTF">2023-09-28T06:21:11Z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2052-11.8.2.12085</vt:lpwstr>
  </property>
  <property fmtid="{D5CDD505-2E9C-101B-9397-08002B2CF9AE}" pid="20" name="ICV">
    <vt:lpwstr>E6FC125F072D40CE9C9CE9F80164E99B</vt:lpwstr>
  </property>
</Properties>
</file>